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FF614" w14:textId="77777777" w:rsidR="009B0097" w:rsidRPr="00E121D7" w:rsidRDefault="009B0097" w:rsidP="00A27039">
      <w:pPr>
        <w:rPr>
          <w:rFonts w:ascii="Traditional Arabic" w:hAnsi="Traditional Arabic" w:cs="Traditional Arabic"/>
          <w:b/>
          <w:bCs/>
          <w:sz w:val="28"/>
          <w:szCs w:val="28"/>
        </w:rPr>
      </w:pPr>
    </w:p>
    <w:p w14:paraId="73B03B39" w14:textId="77777777" w:rsidR="00C114C0" w:rsidRPr="00E121D7" w:rsidRDefault="00C114C0" w:rsidP="00A27039">
      <w:pPr>
        <w:rPr>
          <w:rFonts w:ascii="Traditional Arabic" w:hAnsi="Traditional Arabic" w:cs="Traditional Arabic"/>
          <w:b/>
          <w:bCs/>
          <w:sz w:val="28"/>
          <w:szCs w:val="28"/>
          <w:rtl/>
        </w:rPr>
      </w:pPr>
    </w:p>
    <w:p w14:paraId="4ADCF15E" w14:textId="77777777" w:rsidR="000D36E6" w:rsidRPr="00E121D7" w:rsidRDefault="000D36E6" w:rsidP="00A8696D">
      <w:pPr>
        <w:jc w:val="center"/>
        <w:rPr>
          <w:rFonts w:ascii="Traditional Arabic" w:hAnsi="Traditional Arabic" w:cs="Traditional Arabic"/>
          <w:b/>
          <w:bCs/>
          <w:sz w:val="28"/>
          <w:szCs w:val="28"/>
          <w:rtl/>
        </w:rPr>
      </w:pPr>
    </w:p>
    <w:p w14:paraId="19248023" w14:textId="77777777" w:rsidR="00A8696D" w:rsidRPr="00634CC6" w:rsidRDefault="00A8696D" w:rsidP="00A8696D">
      <w:pPr>
        <w:jc w:val="center"/>
        <w:rPr>
          <w:rFonts w:ascii="Traditional Arabic" w:hAnsi="Traditional Arabic" w:cs="Traditional Arabic"/>
          <w:b/>
          <w:bCs/>
          <w:sz w:val="36"/>
          <w:szCs w:val="36"/>
        </w:rPr>
      </w:pPr>
      <w:r w:rsidRPr="00634CC6">
        <w:rPr>
          <w:rFonts w:ascii="Traditional Arabic" w:hAnsi="Traditional Arabic" w:cs="Traditional Arabic"/>
          <w:b/>
          <w:bCs/>
          <w:sz w:val="36"/>
          <w:szCs w:val="36"/>
          <w:rtl/>
        </w:rPr>
        <w:t>ورقة عمل مقدمة من المملكة العربية السعودية</w:t>
      </w:r>
    </w:p>
    <w:p w14:paraId="28548227" w14:textId="02D6D185" w:rsidR="003C60C4" w:rsidRPr="00634CC6" w:rsidRDefault="00A8696D" w:rsidP="005D0812">
      <w:pPr>
        <w:spacing w:after="120" w:line="240" w:lineRule="auto"/>
        <w:ind w:right="432"/>
        <w:jc w:val="center"/>
        <w:rPr>
          <w:rFonts w:ascii="Traditional Arabic" w:hAnsi="Traditional Arabic" w:cs="Traditional Arabic"/>
          <w:b/>
          <w:bCs/>
          <w:sz w:val="36"/>
          <w:szCs w:val="36"/>
          <w:rtl/>
        </w:rPr>
      </w:pPr>
      <w:r w:rsidRPr="00634CC6">
        <w:rPr>
          <w:rFonts w:ascii="Traditional Arabic" w:hAnsi="Traditional Arabic" w:cs="Traditional Arabic"/>
          <w:b/>
          <w:bCs/>
          <w:sz w:val="36"/>
          <w:szCs w:val="36"/>
          <w:rtl/>
        </w:rPr>
        <w:t xml:space="preserve">بشأن </w:t>
      </w:r>
      <w:r w:rsidR="00997C34" w:rsidRPr="00997C34">
        <w:rPr>
          <w:rFonts w:ascii="Traditional Arabic" w:hAnsi="Traditional Arabic" w:cs="Traditional Arabic"/>
          <w:b/>
          <w:bCs/>
          <w:sz w:val="36"/>
          <w:szCs w:val="36"/>
          <w:rtl/>
        </w:rPr>
        <w:t>آلية تقديم واعتماد الأوراق العربية للمؤتمر العالمي للاتصالات الراديوية</w:t>
      </w:r>
      <w:r w:rsidR="00997C34">
        <w:rPr>
          <w:rFonts w:ascii="Traditional Arabic" w:hAnsi="Traditional Arabic" w:cs="Traditional Arabic" w:hint="cs"/>
          <w:b/>
          <w:bCs/>
          <w:sz w:val="36"/>
          <w:szCs w:val="36"/>
          <w:rtl/>
        </w:rPr>
        <w:t xml:space="preserve"> </w:t>
      </w:r>
      <w:r w:rsidR="003C60C4" w:rsidRPr="00634CC6">
        <w:rPr>
          <w:rFonts w:ascii="Traditional Arabic" w:hAnsi="Traditional Arabic" w:cs="Traditional Arabic"/>
          <w:b/>
          <w:bCs/>
          <w:sz w:val="36"/>
          <w:szCs w:val="36"/>
          <w:rtl/>
        </w:rPr>
        <w:t>لعام 20</w:t>
      </w:r>
      <w:r w:rsidR="003C60C4" w:rsidRPr="00634CC6">
        <w:rPr>
          <w:rFonts w:ascii="Traditional Arabic" w:hAnsi="Traditional Arabic" w:cs="Traditional Arabic" w:hint="cs"/>
          <w:b/>
          <w:bCs/>
          <w:sz w:val="36"/>
          <w:szCs w:val="36"/>
          <w:rtl/>
        </w:rPr>
        <w:t>2</w:t>
      </w:r>
      <w:r w:rsidR="00CF2AAB">
        <w:rPr>
          <w:rFonts w:ascii="Traditional Arabic" w:hAnsi="Traditional Arabic" w:cs="Traditional Arabic" w:hint="cs"/>
          <w:b/>
          <w:bCs/>
          <w:sz w:val="36"/>
          <w:szCs w:val="36"/>
          <w:rtl/>
        </w:rPr>
        <w:t>7</w:t>
      </w:r>
      <w:r w:rsidR="003C60C4" w:rsidRPr="00634CC6">
        <w:rPr>
          <w:rFonts w:ascii="Traditional Arabic" w:hAnsi="Traditional Arabic" w:cs="Traditional Arabic"/>
          <w:b/>
          <w:bCs/>
          <w:sz w:val="36"/>
          <w:szCs w:val="36"/>
          <w:rtl/>
        </w:rPr>
        <w:t>م</w:t>
      </w:r>
      <w:r w:rsidR="00184F76">
        <w:rPr>
          <w:rFonts w:ascii="Traditional Arabic" w:hAnsi="Traditional Arabic" w:cs="Traditional Arabic" w:hint="cs"/>
          <w:b/>
          <w:bCs/>
          <w:sz w:val="36"/>
          <w:szCs w:val="36"/>
          <w:rtl/>
        </w:rPr>
        <w:t xml:space="preserve"> </w:t>
      </w:r>
      <w:r w:rsidR="00997C34">
        <w:rPr>
          <w:rFonts w:ascii="Traditional Arabic" w:hAnsi="Traditional Arabic" w:cs="Traditional Arabic" w:hint="cs"/>
          <w:b/>
          <w:bCs/>
          <w:sz w:val="36"/>
          <w:szCs w:val="36"/>
          <w:rtl/>
        </w:rPr>
        <w:t xml:space="preserve"> وجمعية الاتصالات الراديوية 2027م </w:t>
      </w:r>
      <w:r w:rsidR="005D0812">
        <w:rPr>
          <w:rFonts w:ascii="Traditional Arabic" w:hAnsi="Traditional Arabic" w:cs="Traditional Arabic" w:hint="cs"/>
          <w:b/>
          <w:bCs/>
          <w:sz w:val="36"/>
          <w:szCs w:val="36"/>
          <w:rtl/>
        </w:rPr>
        <w:t xml:space="preserve">للفريق العربي الدائم للطيف الترددي </w:t>
      </w:r>
    </w:p>
    <w:p w14:paraId="4D11D7ED" w14:textId="77777777" w:rsidR="00A8696D" w:rsidRPr="00634CC6" w:rsidRDefault="00A8696D" w:rsidP="003C60C4">
      <w:pPr>
        <w:jc w:val="center"/>
        <w:rPr>
          <w:rFonts w:ascii="Traditional Arabic" w:hAnsi="Traditional Arabic" w:cs="Traditional Arabic"/>
          <w:b/>
          <w:bCs/>
          <w:sz w:val="36"/>
          <w:szCs w:val="36"/>
          <w:rtl/>
          <w:lang w:bidi="ar-BH"/>
        </w:rPr>
      </w:pPr>
    </w:p>
    <w:p w14:paraId="40957D0F" w14:textId="77777777" w:rsidR="000D36E6" w:rsidRPr="00634CC6" w:rsidRDefault="000D36E6" w:rsidP="00A27039">
      <w:pPr>
        <w:rPr>
          <w:rFonts w:ascii="Traditional Arabic" w:hAnsi="Traditional Arabic" w:cs="Traditional Arabic"/>
          <w:b/>
          <w:bCs/>
          <w:sz w:val="24"/>
          <w:szCs w:val="24"/>
          <w:rtl/>
        </w:rPr>
      </w:pPr>
    </w:p>
    <w:p w14:paraId="41EB79BF" w14:textId="795524D2" w:rsidR="000D36E6" w:rsidRPr="00634CC6" w:rsidRDefault="000D36E6" w:rsidP="00FA2CEC">
      <w:pPr>
        <w:jc w:val="center"/>
        <w:rPr>
          <w:rFonts w:ascii="Traditional Arabic" w:hAnsi="Traditional Arabic" w:cs="Traditional Arabic"/>
          <w:b/>
          <w:bCs/>
          <w:sz w:val="36"/>
          <w:szCs w:val="36"/>
          <w:rtl/>
        </w:rPr>
      </w:pPr>
      <w:r w:rsidRPr="00634CC6">
        <w:rPr>
          <w:rFonts w:ascii="Traditional Arabic" w:hAnsi="Traditional Arabic" w:cs="Traditional Arabic"/>
          <w:b/>
          <w:bCs/>
          <w:sz w:val="36"/>
          <w:szCs w:val="36"/>
          <w:rtl/>
        </w:rPr>
        <w:t xml:space="preserve">الاجتماع </w:t>
      </w:r>
      <w:r w:rsidR="00CF2AAB">
        <w:rPr>
          <w:rFonts w:ascii="Traditional Arabic" w:hAnsi="Traditional Arabic" w:cs="Traditional Arabic" w:hint="cs"/>
          <w:b/>
          <w:bCs/>
          <w:sz w:val="36"/>
          <w:szCs w:val="36"/>
          <w:rtl/>
        </w:rPr>
        <w:t>الثاني والثلاثون</w:t>
      </w:r>
      <w:r w:rsidRPr="00634CC6">
        <w:rPr>
          <w:rFonts w:ascii="Traditional Arabic" w:hAnsi="Traditional Arabic" w:cs="Traditional Arabic"/>
          <w:b/>
          <w:bCs/>
          <w:sz w:val="36"/>
          <w:szCs w:val="36"/>
          <w:rtl/>
        </w:rPr>
        <w:t xml:space="preserve"> للفريق العربي الدائم للطيف الترددي</w:t>
      </w:r>
    </w:p>
    <w:p w14:paraId="01AA714D" w14:textId="0E827F3C" w:rsidR="000D36E6" w:rsidRPr="00634CC6" w:rsidRDefault="00CF2AAB" w:rsidP="00FA2CEC">
      <w:pPr>
        <w:jc w:val="center"/>
        <w:rPr>
          <w:rFonts w:ascii="Traditional Arabic" w:hAnsi="Traditional Arabic" w:cs="Traditional Arabic"/>
          <w:b/>
          <w:bCs/>
          <w:sz w:val="40"/>
          <w:szCs w:val="40"/>
          <w:rtl/>
        </w:rPr>
      </w:pPr>
      <w:r>
        <w:rPr>
          <w:rFonts w:ascii="Traditional Arabic" w:hAnsi="Traditional Arabic" w:cs="Traditional Arabic" w:hint="cs"/>
          <w:b/>
          <w:bCs/>
          <w:sz w:val="36"/>
          <w:szCs w:val="36"/>
          <w:rtl/>
        </w:rPr>
        <w:t>عمان</w:t>
      </w:r>
      <w:r w:rsidR="000D36E6" w:rsidRPr="00634CC6">
        <w:rPr>
          <w:rFonts w:ascii="Traditional Arabic" w:hAnsi="Traditional Arabic" w:cs="Traditional Arabic"/>
          <w:b/>
          <w:bCs/>
          <w:sz w:val="36"/>
          <w:szCs w:val="36"/>
          <w:rtl/>
        </w:rPr>
        <w:t xml:space="preserve"> من </w:t>
      </w:r>
      <w:r>
        <w:rPr>
          <w:rFonts w:ascii="Traditional Arabic" w:hAnsi="Traditional Arabic" w:cs="Traditional Arabic" w:hint="cs"/>
          <w:b/>
          <w:bCs/>
          <w:sz w:val="36"/>
          <w:szCs w:val="36"/>
          <w:rtl/>
        </w:rPr>
        <w:t>13</w:t>
      </w:r>
      <w:r w:rsidR="000D36E6" w:rsidRPr="00634CC6">
        <w:rPr>
          <w:rFonts w:ascii="Traditional Arabic" w:hAnsi="Traditional Arabic" w:cs="Traditional Arabic"/>
          <w:b/>
          <w:bCs/>
          <w:sz w:val="36"/>
          <w:szCs w:val="36"/>
          <w:rtl/>
        </w:rPr>
        <w:t xml:space="preserve"> إلى </w:t>
      </w:r>
      <w:r>
        <w:rPr>
          <w:rFonts w:ascii="Traditional Arabic" w:hAnsi="Traditional Arabic" w:cs="Traditional Arabic" w:hint="cs"/>
          <w:b/>
          <w:bCs/>
          <w:sz w:val="36"/>
          <w:szCs w:val="36"/>
          <w:rtl/>
        </w:rPr>
        <w:t>16</w:t>
      </w:r>
      <w:r w:rsidR="000D36E6" w:rsidRPr="00634CC6">
        <w:rPr>
          <w:rFonts w:ascii="Traditional Arabic" w:hAnsi="Traditional Arabic" w:cs="Traditional Arabic"/>
          <w:b/>
          <w:bCs/>
          <w:sz w:val="36"/>
          <w:szCs w:val="36"/>
          <w:rtl/>
        </w:rPr>
        <w:t xml:space="preserve"> </w:t>
      </w:r>
      <w:r>
        <w:rPr>
          <w:rFonts w:ascii="Traditional Arabic" w:hAnsi="Traditional Arabic" w:cs="Traditional Arabic" w:hint="cs"/>
          <w:b/>
          <w:bCs/>
          <w:sz w:val="36"/>
          <w:szCs w:val="36"/>
          <w:rtl/>
        </w:rPr>
        <w:t>مايو</w:t>
      </w:r>
      <w:r w:rsidR="000D36E6" w:rsidRPr="00634CC6">
        <w:rPr>
          <w:rFonts w:ascii="Traditional Arabic" w:hAnsi="Traditional Arabic" w:cs="Traditional Arabic"/>
          <w:b/>
          <w:bCs/>
          <w:sz w:val="36"/>
          <w:szCs w:val="36"/>
          <w:rtl/>
        </w:rPr>
        <w:t xml:space="preserve"> 2</w:t>
      </w:r>
      <w:r w:rsidR="000D36E6" w:rsidRPr="00634CC6">
        <w:rPr>
          <w:rFonts w:ascii="Traditional Arabic" w:hAnsi="Traditional Arabic" w:cs="Traditional Arabic"/>
          <w:b/>
          <w:bCs/>
          <w:sz w:val="40"/>
          <w:szCs w:val="40"/>
          <w:rtl/>
        </w:rPr>
        <w:t>0</w:t>
      </w:r>
      <w:r w:rsidR="00FA2CEC" w:rsidRPr="00634CC6">
        <w:rPr>
          <w:rFonts w:ascii="Traditional Arabic" w:hAnsi="Traditional Arabic" w:cs="Traditional Arabic" w:hint="cs"/>
          <w:b/>
          <w:bCs/>
          <w:sz w:val="40"/>
          <w:szCs w:val="40"/>
          <w:rtl/>
        </w:rPr>
        <w:t>2</w:t>
      </w:r>
      <w:r>
        <w:rPr>
          <w:rFonts w:ascii="Traditional Arabic" w:hAnsi="Traditional Arabic" w:cs="Traditional Arabic" w:hint="cs"/>
          <w:b/>
          <w:bCs/>
          <w:sz w:val="40"/>
          <w:szCs w:val="40"/>
          <w:rtl/>
        </w:rPr>
        <w:t>4</w:t>
      </w:r>
      <w:r w:rsidR="0069280D" w:rsidRPr="00634CC6">
        <w:rPr>
          <w:rFonts w:ascii="Traditional Arabic" w:hAnsi="Traditional Arabic" w:cs="Traditional Arabic" w:hint="cs"/>
          <w:b/>
          <w:bCs/>
          <w:sz w:val="40"/>
          <w:szCs w:val="40"/>
          <w:rtl/>
        </w:rPr>
        <w:t>م</w:t>
      </w:r>
    </w:p>
    <w:p w14:paraId="02C95372" w14:textId="77777777" w:rsidR="000D36E6" w:rsidRPr="00E121D7" w:rsidRDefault="000D36E6" w:rsidP="000D36E6">
      <w:pPr>
        <w:jc w:val="center"/>
        <w:rPr>
          <w:rFonts w:ascii="Traditional Arabic" w:hAnsi="Traditional Arabic" w:cs="Traditional Arabic"/>
          <w:b/>
          <w:bCs/>
          <w:sz w:val="52"/>
          <w:szCs w:val="52"/>
          <w:u w:val="single"/>
          <w:rtl/>
        </w:rPr>
      </w:pPr>
    </w:p>
    <w:p w14:paraId="0092DFF0" w14:textId="77777777" w:rsidR="000D36E6" w:rsidRPr="00E121D7" w:rsidRDefault="000D36E6" w:rsidP="00A27039">
      <w:pPr>
        <w:rPr>
          <w:rFonts w:ascii="Traditional Arabic" w:hAnsi="Traditional Arabic" w:cs="Traditional Arabic"/>
          <w:b/>
          <w:bCs/>
          <w:sz w:val="28"/>
          <w:szCs w:val="28"/>
          <w:rtl/>
        </w:rPr>
      </w:pPr>
    </w:p>
    <w:p w14:paraId="1DA5A20C" w14:textId="77777777" w:rsidR="009B0097" w:rsidRPr="00E121D7" w:rsidRDefault="009B0097" w:rsidP="00A27039">
      <w:pPr>
        <w:rPr>
          <w:rFonts w:ascii="Traditional Arabic" w:hAnsi="Traditional Arabic" w:cs="Traditional Arabic"/>
          <w:b/>
          <w:bCs/>
          <w:sz w:val="28"/>
          <w:szCs w:val="28"/>
          <w:rtl/>
        </w:rPr>
      </w:pPr>
    </w:p>
    <w:p w14:paraId="76466A7B" w14:textId="77777777" w:rsidR="009B0097" w:rsidRDefault="009B0097" w:rsidP="00A27039">
      <w:pPr>
        <w:rPr>
          <w:rFonts w:ascii="Traditional Arabic" w:hAnsi="Traditional Arabic" w:cs="Traditional Arabic"/>
          <w:b/>
          <w:bCs/>
          <w:sz w:val="28"/>
          <w:szCs w:val="28"/>
          <w:rtl/>
        </w:rPr>
      </w:pPr>
    </w:p>
    <w:p w14:paraId="066FF131" w14:textId="77777777" w:rsidR="00634CC6" w:rsidRDefault="00634CC6" w:rsidP="00A27039">
      <w:pPr>
        <w:rPr>
          <w:rFonts w:ascii="Traditional Arabic" w:hAnsi="Traditional Arabic" w:cs="Traditional Arabic"/>
          <w:b/>
          <w:bCs/>
          <w:sz w:val="28"/>
          <w:szCs w:val="28"/>
          <w:rtl/>
        </w:rPr>
      </w:pPr>
    </w:p>
    <w:p w14:paraId="0F8485B3" w14:textId="77777777" w:rsidR="00BF785E" w:rsidRDefault="00BF785E" w:rsidP="00A27039">
      <w:pPr>
        <w:rPr>
          <w:rFonts w:ascii="Traditional Arabic" w:hAnsi="Traditional Arabic" w:cs="Traditional Arabic"/>
          <w:b/>
          <w:bCs/>
          <w:sz w:val="28"/>
          <w:szCs w:val="28"/>
          <w:rtl/>
        </w:rPr>
      </w:pPr>
    </w:p>
    <w:p w14:paraId="6A09CD89" w14:textId="77777777" w:rsidR="00BF785E" w:rsidRPr="00E121D7" w:rsidRDefault="00BF785E" w:rsidP="00A27039">
      <w:pPr>
        <w:rPr>
          <w:rFonts w:ascii="Traditional Arabic" w:hAnsi="Traditional Arabic" w:cs="Traditional Arabic"/>
          <w:b/>
          <w:bCs/>
          <w:sz w:val="28"/>
          <w:szCs w:val="28"/>
        </w:rPr>
      </w:pPr>
    </w:p>
    <w:p w14:paraId="151EF2BD" w14:textId="77777777" w:rsidR="00AB27E4" w:rsidRDefault="00AB27E4" w:rsidP="00A27039">
      <w:pPr>
        <w:rPr>
          <w:rFonts w:ascii="Traditional Arabic" w:hAnsi="Traditional Arabic" w:cs="Traditional Arabic"/>
          <w:b/>
          <w:bCs/>
          <w:sz w:val="28"/>
          <w:szCs w:val="28"/>
          <w:rtl/>
        </w:rPr>
      </w:pPr>
    </w:p>
    <w:p w14:paraId="5F52FAB3" w14:textId="77777777" w:rsidR="00AD222C" w:rsidRPr="00E121D7" w:rsidRDefault="00AD222C" w:rsidP="00A27039">
      <w:pPr>
        <w:rPr>
          <w:rFonts w:ascii="Traditional Arabic" w:hAnsi="Traditional Arabic" w:cs="Traditional Arabic"/>
          <w:b/>
          <w:bCs/>
          <w:sz w:val="28"/>
          <w:szCs w:val="28"/>
          <w:rtl/>
        </w:rPr>
      </w:pPr>
    </w:p>
    <w:p w14:paraId="0D688E28" w14:textId="77777777" w:rsidR="00FC4CD8" w:rsidRPr="004D45FF" w:rsidRDefault="00A8696D" w:rsidP="00FC4CD8">
      <w:pPr>
        <w:spacing w:after="0" w:line="360" w:lineRule="auto"/>
        <w:rPr>
          <w:rFonts w:ascii="Traditional Arabic" w:hAnsi="Traditional Arabic" w:cs="Traditional Arabic"/>
          <w:b/>
          <w:bCs/>
          <w:sz w:val="32"/>
          <w:szCs w:val="32"/>
          <w:rtl/>
        </w:rPr>
      </w:pPr>
      <w:r w:rsidRPr="004D45FF">
        <w:rPr>
          <w:rFonts w:ascii="Traditional Arabic" w:hAnsi="Traditional Arabic" w:cs="Traditional Arabic"/>
          <w:b/>
          <w:bCs/>
          <w:sz w:val="32"/>
          <w:szCs w:val="32"/>
          <w:rtl/>
        </w:rPr>
        <w:lastRenderedPageBreak/>
        <w:t xml:space="preserve">اولاً: </w:t>
      </w:r>
      <w:r w:rsidR="008955F5" w:rsidRPr="004D45FF">
        <w:rPr>
          <w:rFonts w:ascii="Traditional Arabic" w:hAnsi="Traditional Arabic" w:cs="Traditional Arabic"/>
          <w:b/>
          <w:bCs/>
          <w:sz w:val="32"/>
          <w:szCs w:val="32"/>
          <w:rtl/>
        </w:rPr>
        <w:t>مقدمة</w:t>
      </w:r>
    </w:p>
    <w:p w14:paraId="5E9E8305" w14:textId="77777777" w:rsidR="00A82B38" w:rsidRDefault="00A82B38" w:rsidP="00A82B38">
      <w:pPr>
        <w:spacing w:after="0" w:line="360" w:lineRule="auto"/>
        <w:jc w:val="both"/>
        <w:rPr>
          <w:rFonts w:ascii="Traditional Arabic" w:eastAsia="Times New Roman" w:hAnsi="Traditional Arabic" w:cs="Traditional Arabic"/>
          <w:color w:val="000000"/>
          <w:sz w:val="28"/>
          <w:szCs w:val="28"/>
          <w:rtl/>
        </w:rPr>
      </w:pPr>
      <w:r w:rsidRPr="00A82B38">
        <w:rPr>
          <w:rFonts w:ascii="Traditional Arabic" w:eastAsia="Times New Roman" w:hAnsi="Traditional Arabic" w:cs="Traditional Arabic"/>
          <w:color w:val="000000"/>
          <w:sz w:val="28"/>
          <w:szCs w:val="28"/>
          <w:rtl/>
        </w:rPr>
        <w:t>يتم في المؤتمرات العالمي للاتصالات الراديوية واجتماعات جمعية الاتصالات الراديوية التي تعقد في الاتحاد الدولي للاتصالات الراديوية تقديم أوراق عمل بشأن بنود جدول أعمال المؤتمرات العالمية للاتصالات الراديوية والموضوعات المتعلقة باجتماعات جمعية الاتصالات الراديوية، وتساهم المجموعات الإقليمية المعتمدة في الاتحاد بتقديم أوراق عمل باسمها بناءً على شروط تضعها هذه المجموعات لاعتماد امكانية تقديم هذه الأوراق باسم هذه المجموعة من عدمه، حيث تساهم هذه الإجراءات في تسهيل أعمال المؤتمر العالمي للاتصالات الراديوية وجمعية الاتصالات الراديوية.</w:t>
      </w:r>
    </w:p>
    <w:p w14:paraId="604870DF" w14:textId="4868EC38" w:rsidR="00635844" w:rsidRPr="004D45FF" w:rsidRDefault="005C26D4" w:rsidP="004D45FF">
      <w:pPr>
        <w:spacing w:after="0" w:line="360" w:lineRule="auto"/>
        <w:rPr>
          <w:rFonts w:ascii="Traditional Arabic" w:hAnsi="Traditional Arabic" w:cs="Traditional Arabic"/>
          <w:b/>
          <w:bCs/>
          <w:sz w:val="32"/>
          <w:szCs w:val="32"/>
        </w:rPr>
      </w:pPr>
      <w:r w:rsidRPr="004D45FF">
        <w:rPr>
          <w:rFonts w:ascii="Traditional Arabic" w:hAnsi="Traditional Arabic" w:cs="Traditional Arabic"/>
          <w:b/>
          <w:bCs/>
          <w:sz w:val="32"/>
          <w:szCs w:val="32"/>
          <w:rtl/>
        </w:rPr>
        <w:t xml:space="preserve">ثانياً: </w:t>
      </w:r>
      <w:r w:rsidR="00A82B38" w:rsidRPr="00A82B38">
        <w:rPr>
          <w:rFonts w:ascii="Traditional Arabic" w:hAnsi="Traditional Arabic" w:cs="Traditional Arabic"/>
          <w:b/>
          <w:bCs/>
          <w:sz w:val="32"/>
          <w:szCs w:val="32"/>
          <w:rtl/>
        </w:rPr>
        <w:t>الآلية المقترحة</w:t>
      </w:r>
    </w:p>
    <w:p w14:paraId="5AC3C113" w14:textId="5110EA2B"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 xml:space="preserve">تكون مجموعات العمل ضمن هيكلة الفريق العربي الدائم للطيف الترددي مسؤولة عن إعداد أوراق العمل العربية المتعلقة ببنود جدول أعمال المؤتمر العالمي للاتصالات الراديوية لعام </w:t>
      </w:r>
      <w:r w:rsidR="009923DF">
        <w:rPr>
          <w:rFonts w:ascii="Traditional Arabic" w:hAnsi="Traditional Arabic" w:cs="Traditional Arabic" w:hint="cs"/>
          <w:sz w:val="28"/>
          <w:szCs w:val="28"/>
          <w:rtl/>
          <w:lang w:bidi="ar-BH"/>
        </w:rPr>
        <w:t>2023</w:t>
      </w:r>
      <w:r w:rsidRPr="00A82B38">
        <w:rPr>
          <w:rFonts w:ascii="Traditional Arabic" w:hAnsi="Traditional Arabic" w:cs="Traditional Arabic"/>
          <w:sz w:val="28"/>
          <w:szCs w:val="28"/>
          <w:rtl/>
          <w:lang w:bidi="ar-BH"/>
        </w:rPr>
        <w:t xml:space="preserve">م وجمعية الاتصالات الراديوية </w:t>
      </w:r>
      <w:r w:rsidR="009923DF">
        <w:rPr>
          <w:rFonts w:ascii="Traditional Arabic" w:hAnsi="Traditional Arabic" w:cs="Traditional Arabic" w:hint="cs"/>
          <w:sz w:val="28"/>
          <w:szCs w:val="28"/>
          <w:rtl/>
          <w:lang w:bidi="ar-BH"/>
        </w:rPr>
        <w:t>2023</w:t>
      </w:r>
      <w:r w:rsidR="009923DF" w:rsidRPr="00A82B38">
        <w:rPr>
          <w:rFonts w:ascii="Traditional Arabic" w:hAnsi="Traditional Arabic" w:cs="Traditional Arabic"/>
          <w:sz w:val="28"/>
          <w:szCs w:val="28"/>
          <w:rtl/>
          <w:lang w:bidi="ar-BH"/>
        </w:rPr>
        <w:t>م</w:t>
      </w:r>
      <w:r w:rsidRPr="00A82B38">
        <w:rPr>
          <w:rFonts w:ascii="Traditional Arabic" w:hAnsi="Traditional Arabic" w:cs="Traditional Arabic"/>
          <w:sz w:val="28"/>
          <w:szCs w:val="28"/>
          <w:rtl/>
          <w:lang w:bidi="ar-BH"/>
        </w:rPr>
        <w:t>.</w:t>
      </w:r>
    </w:p>
    <w:p w14:paraId="22D2DD61" w14:textId="10F443CC"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يتم في اليوم الأخير من اجتماعات مجموعات العمل ضمن اجتماع الفريق العربي الذي يسبق المؤتمر العالمي للاتصالات الراديوية وجمعية الاتصالات الراديوية تشكيل فريق صياغة لصياغة الأوراق العربية وتقديمها للجلسة العامة لإقرارها.</w:t>
      </w:r>
    </w:p>
    <w:p w14:paraId="0E83A629" w14:textId="73A5D448"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يتم بذل الجهد الممكن من أجل الوصول إلى توافق في مواقف إدارات الدول العربية بشأن بنود جدول أعمال المؤتمر والموضوعات المتعلقة بجمعية الاتصالات الراديوية.</w:t>
      </w:r>
    </w:p>
    <w:p w14:paraId="6B8A3727" w14:textId="76AED1BE"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في حال عدم وجود توافق بشأن تقديم ورقة عمل للمؤتمر العالمي للاتصالات الراديوية والجمعية، فإنه في حال وجود دعم بنسبة 25% على الأقل من الادارات التي أبدت موقفها لهذه الورقة وعدم تجاوز نسبة الاعتراض على هذه الورقة نسبة 60% من الإدارات الداعمة، تسمى ورقة العمل ورقة عربية.</w:t>
      </w:r>
    </w:p>
    <w:p w14:paraId="3072BF37" w14:textId="256BCA71"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يتم في اجتماع الفريق العربي الأخير الذي يسبق المؤتمر والجمعية توقيع المواقف من قبل ادارات الدول العربية قبل تقديمها.</w:t>
      </w:r>
    </w:p>
    <w:p w14:paraId="3D1E781F" w14:textId="148919A1"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يمكن للإدارات العربية التي لم يتسنى لها حضور الاجتماع العربي الأخير الذي يسبق المؤتمر أول الجمعية تقديم موقفها عبر المراسلة بالبريد الالكتروني اثناء انعقاد الاجتماع العربي الأخير، وفي حال تزويد هذه الادارات بمواقفها بعد الاجتماع العربي الأخير فانه يتم اضافة اسم هذه الادارات و لا تؤثر على الأوراق العربية أو الاوراق التي لا تحمل مسمى ورقة عربية ( يتم اضافة اسم الادارة فقط).</w:t>
      </w:r>
    </w:p>
    <w:p w14:paraId="54F3209E" w14:textId="544C8F81" w:rsidR="00A82B38" w:rsidRPr="00A82B38" w:rsidRDefault="00A82B38" w:rsidP="00A82B38">
      <w:pPr>
        <w:pStyle w:val="ListParagraph"/>
        <w:numPr>
          <w:ilvl w:val="0"/>
          <w:numId w:val="11"/>
        </w:numPr>
        <w:spacing w:after="0"/>
        <w:jc w:val="both"/>
        <w:rPr>
          <w:rFonts w:ascii="Traditional Arabic" w:hAnsi="Traditional Arabic" w:cs="Traditional Arabic"/>
          <w:sz w:val="28"/>
          <w:szCs w:val="28"/>
          <w:rtl/>
          <w:lang w:bidi="ar-BH"/>
        </w:rPr>
      </w:pPr>
      <w:r w:rsidRPr="00A82B38">
        <w:rPr>
          <w:rFonts w:ascii="Traditional Arabic" w:hAnsi="Traditional Arabic" w:cs="Traditional Arabic"/>
          <w:sz w:val="28"/>
          <w:szCs w:val="28"/>
          <w:rtl/>
          <w:lang w:bidi="ar-BH"/>
        </w:rPr>
        <w:t>بعد الانتهاء من أعمال اجتماع الفريق العربي الأخير الذي يسبق المؤتمر، يتم إرسال أوراق العمل الى الاتحاد الدولي للاتصالات الراديوية.</w:t>
      </w:r>
    </w:p>
    <w:p w14:paraId="725A6A76" w14:textId="3E4484C0" w:rsidR="00003AF4" w:rsidRPr="00A82B38" w:rsidRDefault="00A82B38" w:rsidP="00A82B38">
      <w:pPr>
        <w:pStyle w:val="ListParagraph"/>
        <w:numPr>
          <w:ilvl w:val="0"/>
          <w:numId w:val="11"/>
        </w:numPr>
        <w:spacing w:after="0"/>
        <w:jc w:val="both"/>
        <w:rPr>
          <w:rFonts w:ascii="Traditional Arabic" w:hAnsi="Traditional Arabic" w:cs="Traditional Arabic"/>
          <w:sz w:val="28"/>
          <w:szCs w:val="28"/>
          <w:lang w:bidi="ar-BH"/>
        </w:rPr>
      </w:pPr>
      <w:r w:rsidRPr="00A82B38">
        <w:rPr>
          <w:rFonts w:ascii="Traditional Arabic" w:hAnsi="Traditional Arabic" w:cs="Traditional Arabic"/>
          <w:sz w:val="28"/>
          <w:szCs w:val="28"/>
          <w:rtl/>
          <w:lang w:bidi="ar-BH"/>
        </w:rPr>
        <w:t>في حال تم تغيير مواقف بعض الإدارات الداعمة لورقة عربية معينة اثناء انعقاد الاجتماعات في المؤتمر والجمعي</w:t>
      </w:r>
      <w:r w:rsidR="009923DF">
        <w:rPr>
          <w:rFonts w:ascii="Traditional Arabic" w:hAnsi="Traditional Arabic" w:cs="Traditional Arabic" w:hint="cs"/>
          <w:sz w:val="28"/>
          <w:szCs w:val="28"/>
          <w:rtl/>
          <w:lang w:bidi="ar-BH"/>
        </w:rPr>
        <w:t>ة</w:t>
      </w:r>
      <w:r w:rsidRPr="00A82B38">
        <w:rPr>
          <w:rFonts w:ascii="Traditional Arabic" w:hAnsi="Traditional Arabic" w:cs="Traditional Arabic"/>
          <w:sz w:val="28"/>
          <w:szCs w:val="28"/>
          <w:rtl/>
          <w:lang w:bidi="ar-BH"/>
        </w:rPr>
        <w:t>، واصبحت نسبة عدد الدول الداعمة لهذه الورقة أقل من 25%، فإنه يتم تقديم مرئيات الإدارات منفصلة، ولا يتم تقديم موقف عربي في هذا الشأن.</w:t>
      </w:r>
    </w:p>
    <w:sectPr w:rsidR="00003AF4" w:rsidRPr="00A82B38" w:rsidSect="00251088">
      <w:headerReference w:type="default" r:id="rId8"/>
      <w:footerReference w:type="default" r:id="rId9"/>
      <w:pgSz w:w="11906" w:h="16838"/>
      <w:pgMar w:top="1808" w:right="1558" w:bottom="993" w:left="1276" w:header="56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EE0D" w14:textId="77777777" w:rsidR="001766E0" w:rsidRDefault="001766E0" w:rsidP="00AC679B">
      <w:pPr>
        <w:spacing w:after="0" w:line="240" w:lineRule="auto"/>
      </w:pPr>
      <w:r>
        <w:separator/>
      </w:r>
    </w:p>
  </w:endnote>
  <w:endnote w:type="continuationSeparator" w:id="0">
    <w:p w14:paraId="4D9B9C0C" w14:textId="77777777" w:rsidR="001766E0" w:rsidRDefault="001766E0" w:rsidP="00AC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0045805"/>
      <w:docPartObj>
        <w:docPartGallery w:val="Page Numbers (Bottom of Page)"/>
        <w:docPartUnique/>
      </w:docPartObj>
    </w:sdtPr>
    <w:sdtEndPr/>
    <w:sdtContent>
      <w:p w14:paraId="523A1D89" w14:textId="77777777" w:rsidR="00AC679B" w:rsidRDefault="00AC679B" w:rsidP="00BF785E">
        <w:pPr>
          <w:pStyle w:val="Footer"/>
          <w:jc w:val="center"/>
        </w:pPr>
        <w:r>
          <w:fldChar w:fldCharType="begin"/>
        </w:r>
        <w:r>
          <w:instrText xml:space="preserve"> PAGE   \* MERGEFORMAT </w:instrText>
        </w:r>
        <w:r>
          <w:fldChar w:fldCharType="separate"/>
        </w:r>
        <w:r w:rsidR="00957C11">
          <w:rPr>
            <w:noProof/>
            <w:rtl/>
          </w:rPr>
          <w:t>1</w:t>
        </w:r>
        <w:r>
          <w:rPr>
            <w:noProof/>
          </w:rPr>
          <w:fldChar w:fldCharType="end"/>
        </w:r>
        <w:r>
          <w:rPr>
            <w:rFonts w:hint="cs"/>
            <w:rtl/>
          </w:rPr>
          <w:t>/</w:t>
        </w:r>
        <w:r w:rsidR="00BF785E">
          <w:rPr>
            <w:rFonts w:hint="cs"/>
            <w:rtl/>
          </w:rPr>
          <w:t>7</w:t>
        </w:r>
      </w:p>
    </w:sdtContent>
  </w:sdt>
  <w:p w14:paraId="1A8BE7B0" w14:textId="77777777" w:rsidR="00AC679B" w:rsidRDefault="00AC6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D437" w14:textId="77777777" w:rsidR="001766E0" w:rsidRDefault="001766E0" w:rsidP="00AC679B">
      <w:pPr>
        <w:spacing w:after="0" w:line="240" w:lineRule="auto"/>
      </w:pPr>
      <w:r>
        <w:separator/>
      </w:r>
    </w:p>
  </w:footnote>
  <w:footnote w:type="continuationSeparator" w:id="0">
    <w:p w14:paraId="3CD527A2" w14:textId="77777777" w:rsidR="001766E0" w:rsidRDefault="001766E0" w:rsidP="00AC6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4575" w14:textId="77777777" w:rsidR="00A8696D" w:rsidRDefault="00A8696D">
    <w:pPr>
      <w:pStyle w:val="Header"/>
    </w:pPr>
    <w:r>
      <w:rPr>
        <w:noProof/>
      </w:rPr>
      <w:drawing>
        <wp:inline distT="0" distB="0" distL="0" distR="0" wp14:anchorId="582678BD" wp14:editId="444D5FA9">
          <wp:extent cx="2352709" cy="5425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300" cy="5537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5A1"/>
    <w:multiLevelType w:val="hybridMultilevel"/>
    <w:tmpl w:val="3FC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756D"/>
    <w:multiLevelType w:val="hybridMultilevel"/>
    <w:tmpl w:val="8A7ACAE2"/>
    <w:lvl w:ilvl="0" w:tplc="49F6BE56">
      <w:start w:val="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93ECA"/>
    <w:multiLevelType w:val="hybridMultilevel"/>
    <w:tmpl w:val="16CE4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3516D"/>
    <w:multiLevelType w:val="hybridMultilevel"/>
    <w:tmpl w:val="0374DC92"/>
    <w:lvl w:ilvl="0" w:tplc="460812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C2E0D14"/>
    <w:multiLevelType w:val="hybridMultilevel"/>
    <w:tmpl w:val="121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53C95"/>
    <w:multiLevelType w:val="hybridMultilevel"/>
    <w:tmpl w:val="623AD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168E9"/>
    <w:multiLevelType w:val="hybridMultilevel"/>
    <w:tmpl w:val="088AF5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D72195"/>
    <w:multiLevelType w:val="hybridMultilevel"/>
    <w:tmpl w:val="F416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63568"/>
    <w:multiLevelType w:val="hybridMultilevel"/>
    <w:tmpl w:val="C4B25FF8"/>
    <w:lvl w:ilvl="0" w:tplc="D4C8A740">
      <w:start w:val="1"/>
      <w:numFmt w:val="decimal"/>
      <w:lvlText w:val="%1)"/>
      <w:lvlJc w:val="left"/>
      <w:pPr>
        <w:ind w:left="1003"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01148E"/>
    <w:multiLevelType w:val="hybridMultilevel"/>
    <w:tmpl w:val="84FA145A"/>
    <w:lvl w:ilvl="0" w:tplc="7C568A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74E42DC9"/>
    <w:multiLevelType w:val="hybridMultilevel"/>
    <w:tmpl w:val="C4B25FF8"/>
    <w:lvl w:ilvl="0" w:tplc="D4C8A740">
      <w:start w:val="1"/>
      <w:numFmt w:val="decimal"/>
      <w:lvlText w:val="%1)"/>
      <w:lvlJc w:val="left"/>
      <w:pPr>
        <w:ind w:left="1003"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4"/>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6"/>
  </w:num>
  <w:num w:numId="8">
    <w:abstractNumId w:val="8"/>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F71"/>
    <w:rsid w:val="00000299"/>
    <w:rsid w:val="00003AF4"/>
    <w:rsid w:val="00013936"/>
    <w:rsid w:val="0001672E"/>
    <w:rsid w:val="0005239A"/>
    <w:rsid w:val="00054343"/>
    <w:rsid w:val="000547AA"/>
    <w:rsid w:val="000550B8"/>
    <w:rsid w:val="00056D05"/>
    <w:rsid w:val="00072509"/>
    <w:rsid w:val="00094B2C"/>
    <w:rsid w:val="00096992"/>
    <w:rsid w:val="000A5C3E"/>
    <w:rsid w:val="000A5D6F"/>
    <w:rsid w:val="000C2E1A"/>
    <w:rsid w:val="000D36E6"/>
    <w:rsid w:val="000E590C"/>
    <w:rsid w:val="000E6AD2"/>
    <w:rsid w:val="000F12B3"/>
    <w:rsid w:val="000F32B2"/>
    <w:rsid w:val="000F3A64"/>
    <w:rsid w:val="00102C53"/>
    <w:rsid w:val="0013227C"/>
    <w:rsid w:val="0017442D"/>
    <w:rsid w:val="001766E0"/>
    <w:rsid w:val="00184F76"/>
    <w:rsid w:val="0019132E"/>
    <w:rsid w:val="001A4D78"/>
    <w:rsid w:val="001B3B4C"/>
    <w:rsid w:val="001B495E"/>
    <w:rsid w:val="001C49C3"/>
    <w:rsid w:val="001C74A5"/>
    <w:rsid w:val="001F3E24"/>
    <w:rsid w:val="00204CB2"/>
    <w:rsid w:val="00205448"/>
    <w:rsid w:val="00207EC5"/>
    <w:rsid w:val="00211244"/>
    <w:rsid w:val="00212AF9"/>
    <w:rsid w:val="00217819"/>
    <w:rsid w:val="00217DCE"/>
    <w:rsid w:val="00251088"/>
    <w:rsid w:val="00264663"/>
    <w:rsid w:val="00264F38"/>
    <w:rsid w:val="0026746D"/>
    <w:rsid w:val="0027432B"/>
    <w:rsid w:val="002805E0"/>
    <w:rsid w:val="002972CC"/>
    <w:rsid w:val="002A0261"/>
    <w:rsid w:val="002B3185"/>
    <w:rsid w:val="002B78EF"/>
    <w:rsid w:val="002C0DCF"/>
    <w:rsid w:val="002D5F01"/>
    <w:rsid w:val="002E37DB"/>
    <w:rsid w:val="002F2467"/>
    <w:rsid w:val="002F7E95"/>
    <w:rsid w:val="003021FA"/>
    <w:rsid w:val="00307474"/>
    <w:rsid w:val="00314643"/>
    <w:rsid w:val="00347674"/>
    <w:rsid w:val="00350288"/>
    <w:rsid w:val="00351AC6"/>
    <w:rsid w:val="00365322"/>
    <w:rsid w:val="00365967"/>
    <w:rsid w:val="00391948"/>
    <w:rsid w:val="003934A3"/>
    <w:rsid w:val="00396324"/>
    <w:rsid w:val="003A3C16"/>
    <w:rsid w:val="003B037D"/>
    <w:rsid w:val="003C50FB"/>
    <w:rsid w:val="003C60C4"/>
    <w:rsid w:val="003D1162"/>
    <w:rsid w:val="003E6ECB"/>
    <w:rsid w:val="00402435"/>
    <w:rsid w:val="004203FF"/>
    <w:rsid w:val="00433CC9"/>
    <w:rsid w:val="004346EB"/>
    <w:rsid w:val="00442874"/>
    <w:rsid w:val="00451169"/>
    <w:rsid w:val="00460C15"/>
    <w:rsid w:val="00463D34"/>
    <w:rsid w:val="004644C7"/>
    <w:rsid w:val="0046766D"/>
    <w:rsid w:val="00470A35"/>
    <w:rsid w:val="004952D9"/>
    <w:rsid w:val="004A6950"/>
    <w:rsid w:val="004B6CA5"/>
    <w:rsid w:val="004D2676"/>
    <w:rsid w:val="004D45FF"/>
    <w:rsid w:val="004E4108"/>
    <w:rsid w:val="0051208E"/>
    <w:rsid w:val="00525876"/>
    <w:rsid w:val="0055700D"/>
    <w:rsid w:val="0056598A"/>
    <w:rsid w:val="00571F26"/>
    <w:rsid w:val="00581282"/>
    <w:rsid w:val="005B72DB"/>
    <w:rsid w:val="005C26D4"/>
    <w:rsid w:val="005C5663"/>
    <w:rsid w:val="005D0812"/>
    <w:rsid w:val="005F23CA"/>
    <w:rsid w:val="00615929"/>
    <w:rsid w:val="00634CC6"/>
    <w:rsid w:val="00635844"/>
    <w:rsid w:val="00660F1D"/>
    <w:rsid w:val="00674EC1"/>
    <w:rsid w:val="0069280D"/>
    <w:rsid w:val="006A5EA4"/>
    <w:rsid w:val="006B21D6"/>
    <w:rsid w:val="006C3CE4"/>
    <w:rsid w:val="006C7379"/>
    <w:rsid w:val="006D24E0"/>
    <w:rsid w:val="006D69B5"/>
    <w:rsid w:val="006E6139"/>
    <w:rsid w:val="006F0944"/>
    <w:rsid w:val="006F68A4"/>
    <w:rsid w:val="007119C4"/>
    <w:rsid w:val="00717066"/>
    <w:rsid w:val="00723F52"/>
    <w:rsid w:val="00726017"/>
    <w:rsid w:val="007343B9"/>
    <w:rsid w:val="007350F0"/>
    <w:rsid w:val="00740D71"/>
    <w:rsid w:val="00740DB2"/>
    <w:rsid w:val="00766E65"/>
    <w:rsid w:val="007C56CC"/>
    <w:rsid w:val="007D32BB"/>
    <w:rsid w:val="007E7AA2"/>
    <w:rsid w:val="008004D8"/>
    <w:rsid w:val="00811067"/>
    <w:rsid w:val="00813462"/>
    <w:rsid w:val="00827444"/>
    <w:rsid w:val="00840001"/>
    <w:rsid w:val="00842786"/>
    <w:rsid w:val="008469B6"/>
    <w:rsid w:val="008502CA"/>
    <w:rsid w:val="00872CC1"/>
    <w:rsid w:val="00873FCA"/>
    <w:rsid w:val="00886F57"/>
    <w:rsid w:val="008921D7"/>
    <w:rsid w:val="008955F5"/>
    <w:rsid w:val="008B09CB"/>
    <w:rsid w:val="008C1B98"/>
    <w:rsid w:val="008C2039"/>
    <w:rsid w:val="00910464"/>
    <w:rsid w:val="009114D6"/>
    <w:rsid w:val="00957C11"/>
    <w:rsid w:val="00961E48"/>
    <w:rsid w:val="00970CB2"/>
    <w:rsid w:val="009828E2"/>
    <w:rsid w:val="00986992"/>
    <w:rsid w:val="009923DF"/>
    <w:rsid w:val="00997C34"/>
    <w:rsid w:val="009B0097"/>
    <w:rsid w:val="009E1B09"/>
    <w:rsid w:val="009E2343"/>
    <w:rsid w:val="00A14FAC"/>
    <w:rsid w:val="00A20149"/>
    <w:rsid w:val="00A26EAD"/>
    <w:rsid w:val="00A27039"/>
    <w:rsid w:val="00A503E1"/>
    <w:rsid w:val="00A55952"/>
    <w:rsid w:val="00A66FF6"/>
    <w:rsid w:val="00A70BE3"/>
    <w:rsid w:val="00A74E4E"/>
    <w:rsid w:val="00A75025"/>
    <w:rsid w:val="00A82B38"/>
    <w:rsid w:val="00A8696D"/>
    <w:rsid w:val="00A943A8"/>
    <w:rsid w:val="00AA1209"/>
    <w:rsid w:val="00AA1D0D"/>
    <w:rsid w:val="00AB27E4"/>
    <w:rsid w:val="00AC0E42"/>
    <w:rsid w:val="00AC2F29"/>
    <w:rsid w:val="00AC679B"/>
    <w:rsid w:val="00AD222C"/>
    <w:rsid w:val="00AD7E0D"/>
    <w:rsid w:val="00AE659E"/>
    <w:rsid w:val="00B14C80"/>
    <w:rsid w:val="00B167E6"/>
    <w:rsid w:val="00B22F1A"/>
    <w:rsid w:val="00B23976"/>
    <w:rsid w:val="00B23FA9"/>
    <w:rsid w:val="00B469EE"/>
    <w:rsid w:val="00B46F4F"/>
    <w:rsid w:val="00B746AA"/>
    <w:rsid w:val="00B747E8"/>
    <w:rsid w:val="00B758CD"/>
    <w:rsid w:val="00B933A7"/>
    <w:rsid w:val="00BB4A48"/>
    <w:rsid w:val="00BC73DE"/>
    <w:rsid w:val="00BF6234"/>
    <w:rsid w:val="00BF785E"/>
    <w:rsid w:val="00C03E95"/>
    <w:rsid w:val="00C0419E"/>
    <w:rsid w:val="00C076B6"/>
    <w:rsid w:val="00C114C0"/>
    <w:rsid w:val="00C2397C"/>
    <w:rsid w:val="00C277B4"/>
    <w:rsid w:val="00C34C33"/>
    <w:rsid w:val="00C706F2"/>
    <w:rsid w:val="00C869FD"/>
    <w:rsid w:val="00C86E83"/>
    <w:rsid w:val="00CA6C15"/>
    <w:rsid w:val="00CC7104"/>
    <w:rsid w:val="00CD3160"/>
    <w:rsid w:val="00CF2AAB"/>
    <w:rsid w:val="00D25219"/>
    <w:rsid w:val="00D66410"/>
    <w:rsid w:val="00D86502"/>
    <w:rsid w:val="00D91DAC"/>
    <w:rsid w:val="00D93A0D"/>
    <w:rsid w:val="00DB5025"/>
    <w:rsid w:val="00DE0879"/>
    <w:rsid w:val="00DE351A"/>
    <w:rsid w:val="00DE681F"/>
    <w:rsid w:val="00E03C75"/>
    <w:rsid w:val="00E11FD2"/>
    <w:rsid w:val="00E121D7"/>
    <w:rsid w:val="00E2080D"/>
    <w:rsid w:val="00E2542A"/>
    <w:rsid w:val="00E336AA"/>
    <w:rsid w:val="00E34EEA"/>
    <w:rsid w:val="00E5399A"/>
    <w:rsid w:val="00E67915"/>
    <w:rsid w:val="00E67CD5"/>
    <w:rsid w:val="00E741AD"/>
    <w:rsid w:val="00EB419E"/>
    <w:rsid w:val="00EB445A"/>
    <w:rsid w:val="00EB7232"/>
    <w:rsid w:val="00F02B83"/>
    <w:rsid w:val="00F25CA5"/>
    <w:rsid w:val="00F409C3"/>
    <w:rsid w:val="00F44100"/>
    <w:rsid w:val="00F50714"/>
    <w:rsid w:val="00F51544"/>
    <w:rsid w:val="00F76215"/>
    <w:rsid w:val="00F83E06"/>
    <w:rsid w:val="00F877B5"/>
    <w:rsid w:val="00FA2CEC"/>
    <w:rsid w:val="00FB4F71"/>
    <w:rsid w:val="00FB70CE"/>
    <w:rsid w:val="00FC4CD8"/>
    <w:rsid w:val="00FC628D"/>
    <w:rsid w:val="00FE094B"/>
    <w:rsid w:val="00FE1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E6B74"/>
  <w15:docId w15:val="{B77B7BAB-C59F-4CAA-A96A-644C9B27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4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F71"/>
    <w:rPr>
      <w:rFonts w:ascii="Tahoma" w:hAnsi="Tahoma" w:cs="Tahoma"/>
      <w:sz w:val="16"/>
      <w:szCs w:val="16"/>
    </w:rPr>
  </w:style>
  <w:style w:type="paragraph" w:styleId="ListParagraph">
    <w:name w:val="List Paragraph"/>
    <w:basedOn w:val="Normal"/>
    <w:uiPriority w:val="34"/>
    <w:qFormat/>
    <w:rsid w:val="00A27039"/>
    <w:pPr>
      <w:ind w:left="720"/>
      <w:contextualSpacing/>
    </w:pPr>
  </w:style>
  <w:style w:type="paragraph" w:styleId="Header">
    <w:name w:val="header"/>
    <w:basedOn w:val="Normal"/>
    <w:link w:val="HeaderChar"/>
    <w:uiPriority w:val="99"/>
    <w:unhideWhenUsed/>
    <w:rsid w:val="00AC67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679B"/>
  </w:style>
  <w:style w:type="paragraph" w:styleId="Footer">
    <w:name w:val="footer"/>
    <w:basedOn w:val="Normal"/>
    <w:link w:val="FooterChar"/>
    <w:uiPriority w:val="99"/>
    <w:unhideWhenUsed/>
    <w:rsid w:val="00AC67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679B"/>
  </w:style>
  <w:style w:type="paragraph" w:customStyle="1" w:styleId="Tabletexte">
    <w:name w:val="Table texte"/>
    <w:basedOn w:val="Normal"/>
    <w:qFormat/>
    <w:rsid w:val="00347674"/>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both"/>
    </w:pPr>
    <w:rPr>
      <w:rFonts w:ascii="Times New Roman" w:eastAsia="SimSun" w:hAnsi="Times New Roman" w:cs="Traditional Arabic"/>
      <w:sz w:val="20"/>
      <w:szCs w:val="26"/>
      <w:lang w:eastAsia="zh-CN" w:bidi="ar-SY"/>
    </w:rPr>
  </w:style>
  <w:style w:type="character" w:styleId="CommentReference">
    <w:name w:val="annotation reference"/>
    <w:basedOn w:val="DefaultParagraphFont"/>
    <w:uiPriority w:val="99"/>
    <w:semiHidden/>
    <w:unhideWhenUsed/>
    <w:rsid w:val="007343B9"/>
    <w:rPr>
      <w:sz w:val="16"/>
      <w:szCs w:val="16"/>
    </w:rPr>
  </w:style>
  <w:style w:type="paragraph" w:styleId="CommentText">
    <w:name w:val="annotation text"/>
    <w:basedOn w:val="Normal"/>
    <w:link w:val="CommentTextChar"/>
    <w:uiPriority w:val="99"/>
    <w:semiHidden/>
    <w:unhideWhenUsed/>
    <w:rsid w:val="007343B9"/>
    <w:pPr>
      <w:spacing w:line="240" w:lineRule="auto"/>
    </w:pPr>
    <w:rPr>
      <w:sz w:val="20"/>
      <w:szCs w:val="20"/>
    </w:rPr>
  </w:style>
  <w:style w:type="character" w:customStyle="1" w:styleId="CommentTextChar">
    <w:name w:val="Comment Text Char"/>
    <w:basedOn w:val="DefaultParagraphFont"/>
    <w:link w:val="CommentText"/>
    <w:uiPriority w:val="99"/>
    <w:semiHidden/>
    <w:rsid w:val="007343B9"/>
    <w:rPr>
      <w:sz w:val="20"/>
      <w:szCs w:val="20"/>
    </w:rPr>
  </w:style>
  <w:style w:type="paragraph" w:styleId="CommentSubject">
    <w:name w:val="annotation subject"/>
    <w:basedOn w:val="CommentText"/>
    <w:next w:val="CommentText"/>
    <w:link w:val="CommentSubjectChar"/>
    <w:uiPriority w:val="99"/>
    <w:semiHidden/>
    <w:unhideWhenUsed/>
    <w:rsid w:val="007343B9"/>
    <w:rPr>
      <w:b/>
      <w:bCs/>
    </w:rPr>
  </w:style>
  <w:style w:type="character" w:customStyle="1" w:styleId="CommentSubjectChar">
    <w:name w:val="Comment Subject Char"/>
    <w:basedOn w:val="CommentTextChar"/>
    <w:link w:val="CommentSubject"/>
    <w:uiPriority w:val="99"/>
    <w:semiHidden/>
    <w:rsid w:val="007343B9"/>
    <w:rPr>
      <w:b/>
      <w:bCs/>
      <w:sz w:val="20"/>
      <w:szCs w:val="20"/>
    </w:rPr>
  </w:style>
  <w:style w:type="paragraph" w:styleId="Revision">
    <w:name w:val="Revision"/>
    <w:hidden/>
    <w:uiPriority w:val="99"/>
    <w:semiHidden/>
    <w:rsid w:val="005F23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308338">
      <w:bodyDiv w:val="1"/>
      <w:marLeft w:val="0"/>
      <w:marRight w:val="0"/>
      <w:marTop w:val="0"/>
      <w:marBottom w:val="0"/>
      <w:divBdr>
        <w:top w:val="none" w:sz="0" w:space="0" w:color="auto"/>
        <w:left w:val="none" w:sz="0" w:space="0" w:color="auto"/>
        <w:bottom w:val="none" w:sz="0" w:space="0" w:color="auto"/>
        <w:right w:val="none" w:sz="0" w:space="0" w:color="auto"/>
      </w:divBdr>
    </w:div>
    <w:div w:id="1279411196">
      <w:bodyDiv w:val="1"/>
      <w:marLeft w:val="0"/>
      <w:marRight w:val="0"/>
      <w:marTop w:val="0"/>
      <w:marBottom w:val="0"/>
      <w:divBdr>
        <w:top w:val="none" w:sz="0" w:space="0" w:color="auto"/>
        <w:left w:val="none" w:sz="0" w:space="0" w:color="auto"/>
        <w:bottom w:val="none" w:sz="0" w:space="0" w:color="auto"/>
        <w:right w:val="none" w:sz="0" w:space="0" w:color="auto"/>
      </w:divBdr>
    </w:div>
    <w:div w:id="1613391254">
      <w:bodyDiv w:val="1"/>
      <w:marLeft w:val="0"/>
      <w:marRight w:val="0"/>
      <w:marTop w:val="0"/>
      <w:marBottom w:val="0"/>
      <w:divBdr>
        <w:top w:val="none" w:sz="0" w:space="0" w:color="auto"/>
        <w:left w:val="none" w:sz="0" w:space="0" w:color="auto"/>
        <w:bottom w:val="none" w:sz="0" w:space="0" w:color="auto"/>
        <w:right w:val="none" w:sz="0" w:space="0" w:color="auto"/>
      </w:divBdr>
    </w:div>
    <w:div w:id="208503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46b0c94a-63a8-4e09-886d-4f570dd470bd</TitusGUID>
  <TitusMetadata xmlns="">eyJucyI6Imh0dHA6XC9cL3d3dy50aXR1cy5jb21cL25zXC9tZWxpc3NhIiwicHJvcHMiOlt7Im4iOiJDTEFTU0lGSUNBVElPTiIsInZhbHMiOlt7InZhbHVlIjoiVElUVVNfUFVCTElDIn1dfV19</TitusMetadata>
</titus>
</file>

<file path=customXml/itemProps1.xml><?xml version="1.0" encoding="utf-8"?>
<ds:datastoreItem xmlns:ds="http://schemas.openxmlformats.org/officeDocument/2006/customXml" ds:itemID="{11F635CF-C46A-4337-95B2-B1E1010D4E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 ALAmri</dc:creator>
  <cp:keywords>TITUS Classification: TITUS_PUBLIC</cp:keywords>
  <cp:lastModifiedBy>Mohammed Fraj Abdullah Aljbry</cp:lastModifiedBy>
  <cp:revision>5</cp:revision>
  <cp:lastPrinted>2020-02-05T10:52:00Z</cp:lastPrinted>
  <dcterms:created xsi:type="dcterms:W3CDTF">2024-03-28T14:33:00Z</dcterms:created>
  <dcterms:modified xsi:type="dcterms:W3CDTF">2024-05-08T14:19:00Z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46b0c94a-63a8-4e09-886d-4f570dd470bd</vt:lpwstr>
  </property>
  <property fmtid="{D5CDD505-2E9C-101B-9397-08002B2CF9AE}" pid="3" name="CLASSIFICATION">
    <vt:lpwstr>TITUS_PUBLIC</vt:lpwstr>
  </property>
  <property fmtid="{D5CDD505-2E9C-101B-9397-08002B2CF9AE}" pid="4" name="OriginatingUser">
    <vt:lpwstr>mjnoobi</vt:lpwstr>
  </property>
</Properties>
</file>