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F614" w14:textId="77777777" w:rsidR="009B0097" w:rsidRPr="00E121D7" w:rsidRDefault="009B0097" w:rsidP="00A27039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73B03B39" w14:textId="77777777" w:rsidR="00C114C0" w:rsidRPr="00E121D7" w:rsidRDefault="00C114C0" w:rsidP="00A27039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ADCF15E" w14:textId="77777777" w:rsidR="000D36E6" w:rsidRPr="00E121D7" w:rsidRDefault="000D36E6" w:rsidP="00A8696D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19248023" w14:textId="77777777" w:rsidR="00A8696D" w:rsidRPr="00634CC6" w:rsidRDefault="00A8696D" w:rsidP="00A8696D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>ورقة عمل مقدمة من المملكة العربية السعودية</w:t>
      </w:r>
    </w:p>
    <w:p w14:paraId="28548227" w14:textId="441FF87C" w:rsidR="003C60C4" w:rsidRPr="00634CC6" w:rsidRDefault="00A8696D" w:rsidP="005D0812">
      <w:pPr>
        <w:spacing w:after="120" w:line="240" w:lineRule="auto"/>
        <w:ind w:right="43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بشأن </w:t>
      </w:r>
      <w:r w:rsidR="003C60C4"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مقترح توزيع </w:t>
      </w:r>
      <w:r w:rsidR="005D0812"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مجموعات </w:t>
      </w:r>
      <w:r w:rsidR="005D08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D0812"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عمل </w:t>
      </w:r>
      <w:r w:rsidR="005D08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C60C4"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>بنود جدول أعمال المؤتمر العالمي للاتصالات الراديوية لعام 20</w:t>
      </w:r>
      <w:r w:rsidR="003C60C4" w:rsidRPr="00634C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</w:t>
      </w:r>
      <w:r w:rsidR="00CF2A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7</w:t>
      </w:r>
      <w:r w:rsidR="003C60C4"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4F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D08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للفريق العربي الدائم للطيف الترددي </w:t>
      </w:r>
    </w:p>
    <w:p w14:paraId="4D11D7ED" w14:textId="77777777" w:rsidR="00A8696D" w:rsidRPr="00634CC6" w:rsidRDefault="00A8696D" w:rsidP="003C60C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BH"/>
        </w:rPr>
      </w:pPr>
    </w:p>
    <w:p w14:paraId="40957D0F" w14:textId="77777777" w:rsidR="000D36E6" w:rsidRPr="00634CC6" w:rsidRDefault="000D36E6" w:rsidP="00A27039">
      <w:pPr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14:paraId="41EB79BF" w14:textId="795524D2" w:rsidR="000D36E6" w:rsidRPr="00634CC6" w:rsidRDefault="000D36E6" w:rsidP="00FA2CE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الاجتماع </w:t>
      </w:r>
      <w:r w:rsidR="00CF2A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 والثلاثون</w:t>
      </w:r>
      <w:r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للفريق العربي الدائم للطيف الترددي</w:t>
      </w:r>
    </w:p>
    <w:p w14:paraId="01AA714D" w14:textId="0E827F3C" w:rsidR="000D36E6" w:rsidRPr="00634CC6" w:rsidRDefault="00CF2AAB" w:rsidP="00FA2CEC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عمان</w:t>
      </w:r>
      <w:r w:rsidR="000D36E6"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13</w:t>
      </w:r>
      <w:r w:rsidR="000D36E6"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إلى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16</w:t>
      </w:r>
      <w:r w:rsidR="000D36E6"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مايو</w:t>
      </w:r>
      <w:r w:rsidR="000D36E6" w:rsidRPr="00634C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2</w:t>
      </w:r>
      <w:r w:rsidR="000D36E6" w:rsidRPr="00634CC6">
        <w:rPr>
          <w:rFonts w:ascii="Traditional Arabic" w:hAnsi="Traditional Arabic" w:cs="Traditional Arabic"/>
          <w:b/>
          <w:bCs/>
          <w:sz w:val="40"/>
          <w:szCs w:val="40"/>
          <w:rtl/>
        </w:rPr>
        <w:t>0</w:t>
      </w:r>
      <w:r w:rsidR="00FA2CEC" w:rsidRPr="00634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2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4</w:t>
      </w:r>
      <w:r w:rsidR="0069280D" w:rsidRPr="00634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</w:p>
    <w:p w14:paraId="02C95372" w14:textId="77777777" w:rsidR="000D36E6" w:rsidRPr="00E121D7" w:rsidRDefault="000D36E6" w:rsidP="000D36E6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14:paraId="0092DFF0" w14:textId="77777777" w:rsidR="000D36E6" w:rsidRPr="00E121D7" w:rsidRDefault="000D36E6" w:rsidP="00A27039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1DA5A20C" w14:textId="77777777" w:rsidR="009B0097" w:rsidRPr="00E121D7" w:rsidRDefault="009B0097" w:rsidP="00A27039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6466A7B" w14:textId="77777777" w:rsidR="009B0097" w:rsidRDefault="009B0097" w:rsidP="00A27039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66FF131" w14:textId="77777777" w:rsidR="00634CC6" w:rsidRDefault="00634CC6" w:rsidP="00A27039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F8485B3" w14:textId="77777777" w:rsidR="00BF785E" w:rsidRDefault="00BF785E" w:rsidP="00A27039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6A09CD89" w14:textId="77777777" w:rsidR="00BF785E" w:rsidRPr="00E121D7" w:rsidRDefault="00BF785E" w:rsidP="00A27039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151EF2BD" w14:textId="77777777" w:rsidR="00AB27E4" w:rsidRDefault="00AB27E4" w:rsidP="00A27039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F52FAB3" w14:textId="77777777" w:rsidR="00AD222C" w:rsidRPr="00E121D7" w:rsidRDefault="00AD222C" w:rsidP="00A27039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D688E28" w14:textId="77777777" w:rsidR="00FC4CD8" w:rsidRPr="004D45FF" w:rsidRDefault="00A8696D" w:rsidP="00FC4CD8">
      <w:pPr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D45FF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اولاً: </w:t>
      </w:r>
      <w:r w:rsidR="008955F5" w:rsidRPr="004D45FF">
        <w:rPr>
          <w:rFonts w:ascii="Traditional Arabic" w:hAnsi="Traditional Arabic" w:cs="Traditional Arabic"/>
          <w:b/>
          <w:bCs/>
          <w:sz w:val="32"/>
          <w:szCs w:val="32"/>
          <w:rtl/>
        </w:rPr>
        <w:t>مقدمة</w:t>
      </w:r>
    </w:p>
    <w:p w14:paraId="7F2241EF" w14:textId="0655ED4E" w:rsidR="00886F57" w:rsidRDefault="004E4108" w:rsidP="00AD222C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BH"/>
        </w:rPr>
      </w:pPr>
      <w:r w:rsidRPr="004D45F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 xml:space="preserve">هذه الوثيقة </w:t>
      </w:r>
      <w:r w:rsidR="007343B9" w:rsidRPr="004D45F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 xml:space="preserve">تحتوي </w:t>
      </w:r>
      <w:r w:rsidRPr="004D45F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 xml:space="preserve">على </w:t>
      </w:r>
      <w:r w:rsidRPr="004D45FF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مقترح لتوزيع بنود جدول أعمال المؤتمر العالمي للاتصالات الراديوية لعام 202</w:t>
      </w:r>
      <w:r w:rsidR="005C5663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7</w:t>
      </w:r>
      <w:r w:rsidRPr="004D45FF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م على مجموعات عمل ضمن هيكلة الفريق العربي الدائم للطيف الترددي، </w:t>
      </w:r>
      <w:r w:rsidR="00264663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وذلك بهدف تنظيم أعمال الفريق و</w:t>
      </w:r>
      <w:r w:rsidRPr="004D45FF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تسهيل متابعة هذه البنود </w:t>
      </w:r>
      <w:r w:rsidR="00264663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خلال الفترة الدراسية الحالية</w:t>
      </w:r>
      <w:r w:rsidR="005F23CA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.</w:t>
      </w:r>
    </w:p>
    <w:p w14:paraId="604870DF" w14:textId="4C24A083" w:rsidR="00635844" w:rsidRPr="004D45FF" w:rsidRDefault="005C26D4" w:rsidP="004D45FF">
      <w:pPr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4D45F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ثانياً: </w:t>
      </w:r>
      <w:r w:rsidR="004D45FF" w:rsidRPr="004D45F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هيكل تقرير الاجتماع التحضيري للمؤتمر العالمي للاتصالات الراديوية 202</w:t>
      </w:r>
      <w:r w:rsidR="005C56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7</w:t>
      </w:r>
      <w:r w:rsidR="004D45FF" w:rsidRPr="004D45F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</w:p>
    <w:p w14:paraId="561F0F60" w14:textId="16738D1B" w:rsidR="004D45FF" w:rsidRPr="00E11FD2" w:rsidRDefault="004D45FF" w:rsidP="00AD222C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BH"/>
        </w:rPr>
      </w:pPr>
      <w:r w:rsidRPr="00E11FD2">
        <w:rPr>
          <w:rFonts w:ascii="Traditional Arabic" w:hAnsi="Traditional Arabic" w:cs="Traditional Arabic"/>
          <w:sz w:val="28"/>
          <w:szCs w:val="28"/>
          <w:rtl/>
          <w:lang w:bidi="ar-BH"/>
        </w:rPr>
        <w:t>تم في الاجتماع التحضيري للمؤتمر العالمي للاتصالات الراديوية لعام 20</w:t>
      </w:r>
      <w:r w:rsidRPr="00E11FD2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2</w:t>
      </w:r>
      <w:r w:rsidR="005C5663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7</w:t>
      </w:r>
      <w:r w:rsidRPr="00E11FD2">
        <w:rPr>
          <w:rFonts w:ascii="Traditional Arabic" w:hAnsi="Traditional Arabic" w:cs="Traditional Arabic"/>
          <w:sz w:val="28"/>
          <w:szCs w:val="28"/>
          <w:rtl/>
          <w:lang w:bidi="ar-BH"/>
        </w:rPr>
        <w:t xml:space="preserve">م </w:t>
      </w:r>
      <w:r w:rsidRPr="00E11FD2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ب</w:t>
      </w:r>
      <w:r w:rsidR="00C076B6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ال</w:t>
      </w:r>
      <w:r w:rsidRPr="00E11FD2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دورة الأولى</w:t>
      </w:r>
      <w:r w:rsidR="007343B9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 (</w:t>
      </w:r>
      <w:r w:rsidR="007343B9">
        <w:rPr>
          <w:rFonts w:ascii="Traditional Arabic" w:hAnsi="Traditional Arabic" w:cs="Traditional Arabic"/>
          <w:sz w:val="28"/>
          <w:szCs w:val="28"/>
          <w:lang w:bidi="ar-BH"/>
        </w:rPr>
        <w:t>cpm2</w:t>
      </w:r>
      <w:r w:rsidR="005C5663">
        <w:rPr>
          <w:rFonts w:ascii="Traditional Arabic" w:hAnsi="Traditional Arabic" w:cs="Traditional Arabic"/>
          <w:sz w:val="28"/>
          <w:szCs w:val="28"/>
          <w:lang w:bidi="ar-BH"/>
        </w:rPr>
        <w:t>7</w:t>
      </w:r>
      <w:r w:rsidR="007343B9">
        <w:rPr>
          <w:rFonts w:ascii="Traditional Arabic" w:hAnsi="Traditional Arabic" w:cs="Traditional Arabic"/>
          <w:sz w:val="28"/>
          <w:szCs w:val="28"/>
          <w:lang w:bidi="ar-BH"/>
        </w:rPr>
        <w:t>-1</w:t>
      </w:r>
      <w:r w:rsidR="007343B9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Pr="00E11FD2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 </w:t>
      </w:r>
      <w:r w:rsidRPr="00E11FD2">
        <w:rPr>
          <w:rFonts w:ascii="Traditional Arabic" w:hAnsi="Traditional Arabic" w:cs="Traditional Arabic"/>
          <w:sz w:val="28"/>
          <w:szCs w:val="28"/>
          <w:rtl/>
          <w:lang w:bidi="ar-BH"/>
        </w:rPr>
        <w:t>توزيع بنود جدول أعمال المؤتمر</w:t>
      </w:r>
      <w:r w:rsidR="007343B9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 العالمي </w:t>
      </w:r>
      <w:r w:rsidR="00442874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للاتصالات</w:t>
      </w:r>
      <w:r w:rsidRPr="00E11FD2">
        <w:rPr>
          <w:rFonts w:ascii="Traditional Arabic" w:hAnsi="Traditional Arabic" w:cs="Traditional Arabic"/>
          <w:sz w:val="28"/>
          <w:szCs w:val="28"/>
          <w:rtl/>
          <w:lang w:bidi="ar-BH"/>
        </w:rPr>
        <w:t xml:space="preserve"> الراديوية إلى </w:t>
      </w:r>
      <w:r w:rsidR="005B72DB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خمس</w:t>
      </w:r>
      <w:r w:rsidRPr="00E11FD2">
        <w:rPr>
          <w:rFonts w:ascii="Traditional Arabic" w:hAnsi="Traditional Arabic" w:cs="Traditional Arabic"/>
          <w:sz w:val="28"/>
          <w:szCs w:val="28"/>
          <w:rtl/>
          <w:lang w:bidi="ar-BH"/>
        </w:rPr>
        <w:t xml:space="preserve"> فصول على النحو التالي</w:t>
      </w:r>
      <w:r w:rsidRPr="00E11FD2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:</w:t>
      </w:r>
    </w:p>
    <w:p w14:paraId="009DB317" w14:textId="68D6FA9A" w:rsidR="004D45FF" w:rsidRPr="00674EC1" w:rsidRDefault="004D45FF" w:rsidP="004D45FF">
      <w:pPr>
        <w:widowControl w:val="0"/>
        <w:numPr>
          <w:ilvl w:val="0"/>
          <w:numId w:val="10"/>
        </w:numPr>
        <w:suppressAutoHyphens/>
        <w:spacing w:after="0" w:line="400" w:lineRule="exact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  <w:r w:rsidRPr="00674EC1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BH"/>
        </w:rPr>
        <w:t>الفصل</w:t>
      </w:r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 xml:space="preserve"> </w:t>
      </w:r>
      <w:r w:rsidRPr="00674EC1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BH"/>
        </w:rPr>
        <w:t>الأول</w:t>
      </w:r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 xml:space="preserve">: </w:t>
      </w:r>
      <w:r w:rsidRPr="00674EC1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BH"/>
        </w:rPr>
        <w:t>المسائل</w:t>
      </w:r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 xml:space="preserve"> </w:t>
      </w:r>
      <w:r w:rsidRPr="00674EC1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BH"/>
        </w:rPr>
        <w:t>المتعلقة</w:t>
      </w:r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 xml:space="preserve"> </w:t>
      </w:r>
      <w:r w:rsidR="00307474" w:rsidRPr="00307474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 xml:space="preserve">بالخدمتين الثابتة </w:t>
      </w:r>
      <w:proofErr w:type="spellStart"/>
      <w:r w:rsidR="00307474" w:rsidRPr="00307474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الساتلية</w:t>
      </w:r>
      <w:proofErr w:type="spellEnd"/>
      <w:r w:rsidR="00307474" w:rsidRPr="00307474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 xml:space="preserve"> والإذاعية </w:t>
      </w:r>
      <w:proofErr w:type="spellStart"/>
      <w:proofErr w:type="gramStart"/>
      <w:r w:rsidR="00307474" w:rsidRPr="00307474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الساتلية</w:t>
      </w:r>
      <w:proofErr w:type="spellEnd"/>
      <w:r w:rsidR="00307474" w:rsidRPr="00307474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BH"/>
        </w:rPr>
        <w:t xml:space="preserve"> </w:t>
      </w:r>
      <w:r w:rsidRPr="00674EC1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BH"/>
        </w:rPr>
        <w:t>،</w:t>
      </w:r>
      <w:proofErr w:type="gramEnd"/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 xml:space="preserve"> ويندرج تحت هذا الفصل البنود الموضحة في الجدول رقم (1):</w:t>
      </w:r>
    </w:p>
    <w:p w14:paraId="506F390C" w14:textId="62D4DC6D" w:rsidR="005B72DB" w:rsidRDefault="00347674" w:rsidP="005B72DB">
      <w:pPr>
        <w:spacing w:after="0" w:line="400" w:lineRule="exact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11FD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جدول رقم (1)</w:t>
      </w:r>
    </w:p>
    <w:tbl>
      <w:tblPr>
        <w:bidiVisual/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6614"/>
        <w:gridCol w:w="1258"/>
      </w:tblGrid>
      <w:tr w:rsidR="005B72DB" w:rsidRPr="008B3BBF" w14:paraId="4487C152" w14:textId="77777777" w:rsidTr="00AC616D">
        <w:trPr>
          <w:jc w:val="center"/>
        </w:trPr>
        <w:tc>
          <w:tcPr>
            <w:tcW w:w="565" w:type="pct"/>
            <w:shd w:val="clear" w:color="auto" w:fill="D9D9D9" w:themeFill="background1" w:themeFillShade="D9"/>
          </w:tcPr>
          <w:p w14:paraId="3C37D50C" w14:textId="77777777" w:rsidR="005B72DB" w:rsidRPr="00347674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b/>
                <w:bCs/>
                <w:sz w:val="26"/>
                <w:rtl/>
                <w:lang w:bidi="ar-SA"/>
              </w:rPr>
            </w:pPr>
            <w:r w:rsidRPr="00347674">
              <w:rPr>
                <w:rFonts w:ascii="Traditional Arabic" w:hAnsi="Traditional Arabic" w:hint="cs"/>
                <w:b/>
                <w:bCs/>
                <w:sz w:val="26"/>
                <w:rtl/>
                <w:lang w:bidi="ar-SA"/>
              </w:rPr>
              <w:t>البند</w:t>
            </w:r>
          </w:p>
        </w:tc>
        <w:tc>
          <w:tcPr>
            <w:tcW w:w="3726" w:type="pct"/>
            <w:shd w:val="clear" w:color="auto" w:fill="D9D9D9" w:themeFill="background1" w:themeFillShade="D9"/>
          </w:tcPr>
          <w:p w14:paraId="44F5058D" w14:textId="77777777" w:rsidR="005B72DB" w:rsidRPr="00347674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Calibri" w:hAnsi="Calibri"/>
                <w:b/>
                <w:bCs/>
                <w:spacing w:val="-4"/>
                <w:position w:val="2"/>
                <w:rtl/>
                <w:lang w:bidi="ar-SA"/>
              </w:rPr>
            </w:pPr>
            <w:r>
              <w:rPr>
                <w:rFonts w:ascii="Calibri" w:hAnsi="Calibri" w:hint="cs"/>
                <w:b/>
                <w:bCs/>
                <w:spacing w:val="-4"/>
                <w:position w:val="2"/>
                <w:rtl/>
                <w:lang w:bidi="ar-SA"/>
              </w:rPr>
              <w:t>وصف البند</w:t>
            </w:r>
          </w:p>
        </w:tc>
        <w:tc>
          <w:tcPr>
            <w:tcW w:w="709" w:type="pct"/>
            <w:shd w:val="clear" w:color="auto" w:fill="D9D9D9" w:themeFill="background1" w:themeFillShade="D9"/>
          </w:tcPr>
          <w:p w14:paraId="06E2C40C" w14:textId="77777777" w:rsidR="005B72DB" w:rsidRPr="00347674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4767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الفرق المسؤولة</w:t>
            </w:r>
          </w:p>
        </w:tc>
      </w:tr>
      <w:tr w:rsidR="005B72DB" w:rsidRPr="008B3BBF" w14:paraId="4B50A8D4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27105323" w14:textId="77777777" w:rsidR="005B72DB" w:rsidRPr="008B3BBF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1.1</w:t>
            </w:r>
          </w:p>
        </w:tc>
        <w:tc>
          <w:tcPr>
            <w:tcW w:w="3726" w:type="pct"/>
            <w:shd w:val="clear" w:color="auto" w:fill="auto"/>
          </w:tcPr>
          <w:p w14:paraId="38523238" w14:textId="11096561" w:rsidR="005B72DB" w:rsidRPr="008B3BBF" w:rsidRDefault="00314643" w:rsidP="00AC616D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  <w:lang w:bidi="ar-SA"/>
              </w:rPr>
            </w:pPr>
            <w:r w:rsidRPr="00314643">
              <w:rPr>
                <w:rFonts w:ascii="Calibri" w:hAnsi="Calibri"/>
                <w:spacing w:val="-2"/>
                <w:position w:val="2"/>
                <w:rtl/>
              </w:rPr>
              <w:t xml:space="preserve">دراسة </w:t>
            </w:r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>الشروط التقنية والتشغيلية لاستخدام نطاقي الترد</w:t>
            </w:r>
            <w:r w:rsidR="00307474">
              <w:rPr>
                <w:rFonts w:ascii="Calibri" w:hAnsi="Calibri" w:hint="cs"/>
                <w:spacing w:val="-2"/>
                <w:position w:val="2"/>
                <w:rtl/>
                <w:lang w:bidi="ar-SA"/>
              </w:rPr>
              <w:t>د</w:t>
            </w:r>
            <w:r w:rsidR="00307474" w:rsidRPr="00314643">
              <w:rPr>
                <w:rFonts w:ascii="Calibri" w:hAnsi="Calibri"/>
                <w:spacing w:val="-2"/>
                <w:position w:val="2"/>
                <w:szCs w:val="20"/>
                <w:rtl/>
              </w:rPr>
              <w:t xml:space="preserve"> 47,2-50,2</w:t>
            </w:r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 xml:space="preserve"> جيجا هرتز </w:t>
            </w:r>
            <w:r w:rsidR="00307474" w:rsidRPr="002F2467">
              <w:rPr>
                <w:rFonts w:ascii="Calibri" w:hAnsi="Calibri"/>
                <w:spacing w:val="-2"/>
                <w:position w:val="2"/>
                <w:rtl/>
              </w:rPr>
              <w:t>و</w:t>
            </w:r>
            <w:r w:rsidR="00307474" w:rsidRPr="00314643">
              <w:rPr>
                <w:rFonts w:ascii="Calibri" w:hAnsi="Calibri"/>
                <w:spacing w:val="-2"/>
                <w:position w:val="2"/>
                <w:szCs w:val="20"/>
                <w:rtl/>
              </w:rPr>
              <w:t>50,4-51,4</w:t>
            </w:r>
            <w:r w:rsidR="00307474">
              <w:rPr>
                <w:rFonts w:ascii="Calibri" w:hAnsi="Calibri" w:hint="cs"/>
                <w:spacing w:val="-2"/>
                <w:position w:val="2"/>
                <w:rtl/>
              </w:rPr>
              <w:t xml:space="preserve"> </w:t>
            </w:r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>جيجا هرتز (أرض-فضاء)، أو أجزاء منهما، بواسطة المحطات الأرضية</w:t>
            </w:r>
            <w:r w:rsidR="005B72DB">
              <w:rPr>
                <w:rFonts w:ascii="Calibri" w:hAnsi="Calibri" w:hint="cs"/>
                <w:spacing w:val="-2"/>
                <w:position w:val="2"/>
                <w:rtl/>
              </w:rPr>
              <w:t xml:space="preserve"> </w:t>
            </w:r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>المتحركة للطيران والبحرية التي تتواصل مع المحطات الفضائية</w:t>
            </w:r>
            <w:r w:rsidR="005B72DB">
              <w:rPr>
                <w:rFonts w:ascii="Calibri" w:hAnsi="Calibri" w:hint="cs"/>
                <w:spacing w:val="-2"/>
                <w:position w:val="2"/>
                <w:rtl/>
              </w:rPr>
              <w:t xml:space="preserve"> </w:t>
            </w:r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 xml:space="preserve">في </w:t>
            </w:r>
            <w:r w:rsidR="005B72DB">
              <w:rPr>
                <w:rFonts w:ascii="Calibri" w:hAnsi="Calibri" w:hint="cs"/>
                <w:spacing w:val="-2"/>
                <w:position w:val="2"/>
                <w:rtl/>
              </w:rPr>
              <w:t xml:space="preserve">الخدمات </w:t>
            </w:r>
            <w:proofErr w:type="spellStart"/>
            <w:r w:rsidR="005B72DB" w:rsidRPr="00FC628D">
              <w:rPr>
                <w:rFonts w:ascii="Calibri" w:hAnsi="Calibri"/>
                <w:spacing w:val="-2"/>
                <w:position w:val="2"/>
                <w:rtl/>
              </w:rPr>
              <w:t>الساتلية</w:t>
            </w:r>
            <w:proofErr w:type="spellEnd"/>
            <w:r w:rsidR="005B72DB">
              <w:rPr>
                <w:rFonts w:ascii="Calibri" w:hAnsi="Calibri" w:hint="cs"/>
                <w:spacing w:val="-2"/>
                <w:position w:val="2"/>
                <w:rtl/>
              </w:rPr>
              <w:t xml:space="preserve"> الثابتة</w:t>
            </w:r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 xml:space="preserve"> ووضع تدابير تنظيمية</w:t>
            </w:r>
            <w:r w:rsidR="005B72DB">
              <w:rPr>
                <w:rFonts w:ascii="Calibri" w:hAnsi="Calibri" w:hint="cs"/>
                <w:spacing w:val="-2"/>
                <w:position w:val="2"/>
                <w:rtl/>
              </w:rPr>
              <w:t xml:space="preserve"> لها</w:t>
            </w:r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 xml:space="preserve">، حسب الاقتضاء، لتسهيل استخدام نطاقي التردد </w:t>
            </w:r>
            <w:r w:rsidR="005B72DB" w:rsidRPr="00314643">
              <w:rPr>
                <w:rFonts w:ascii="Calibri" w:hAnsi="Calibri"/>
                <w:spacing w:val="-2"/>
                <w:position w:val="2"/>
                <w:szCs w:val="20"/>
                <w:rtl/>
              </w:rPr>
              <w:t>47,2-50,2</w:t>
            </w:r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 xml:space="preserve"> جيجا هرتز و</w:t>
            </w:r>
            <w:r w:rsidRPr="00314643">
              <w:rPr>
                <w:rFonts w:ascii="Calibri" w:hAnsi="Calibri"/>
                <w:spacing w:val="-2"/>
                <w:position w:val="2"/>
                <w:szCs w:val="20"/>
                <w:rtl/>
              </w:rPr>
              <w:t>50,4-51,4</w:t>
            </w:r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 xml:space="preserve"> جيجا هرتز (أرض-فضاء)، أو أجزاء منهما، بواسطة المحطات الأرضية</w:t>
            </w:r>
            <w:r w:rsidR="005B72DB">
              <w:rPr>
                <w:rFonts w:ascii="Calibri" w:hAnsi="Calibri" w:hint="cs"/>
                <w:spacing w:val="-2"/>
                <w:position w:val="2"/>
                <w:rtl/>
              </w:rPr>
              <w:t xml:space="preserve"> </w:t>
            </w:r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>المتحركة للطيران والبحرية التي تتواصل مع المحطات الفضائية المستقرة بالنسبة إلى الأرض والمحطات الفضائية غير المستقرة بالنسبة إلى الأرض في الخدمة</w:t>
            </w:r>
            <w:r w:rsidR="005B72DB">
              <w:rPr>
                <w:rFonts w:ascii="Calibri" w:hAnsi="Calibri" w:hint="cs"/>
                <w:spacing w:val="-2"/>
                <w:position w:val="2"/>
                <w:rtl/>
              </w:rPr>
              <w:t xml:space="preserve"> </w:t>
            </w:r>
            <w:proofErr w:type="spellStart"/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>الساتلية</w:t>
            </w:r>
            <w:proofErr w:type="spellEnd"/>
            <w:r w:rsidR="005B72DB" w:rsidRPr="002F2467">
              <w:rPr>
                <w:rFonts w:ascii="Calibri" w:hAnsi="Calibri"/>
                <w:spacing w:val="-2"/>
                <w:position w:val="2"/>
                <w:rtl/>
              </w:rPr>
              <w:t xml:space="preserve"> الثابتة</w:t>
            </w:r>
            <w:r>
              <w:rPr>
                <w:rFonts w:ascii="Calibri" w:hAnsi="Calibri" w:hint="cs"/>
                <w:spacing w:val="-2"/>
                <w:position w:val="2"/>
                <w:rtl/>
                <w:lang w:bidi="ar-SA"/>
              </w:rPr>
              <w:t xml:space="preserve"> وفقاً </w:t>
            </w:r>
            <w:r>
              <w:rPr>
                <w:rFonts w:ascii="Calibri" w:hAnsi="Calibri" w:hint="cs"/>
                <w:spacing w:val="-2"/>
                <w:position w:val="2"/>
                <w:rtl/>
              </w:rPr>
              <w:t>للقرار</w:t>
            </w:r>
            <w:r>
              <w:rPr>
                <w:rFonts w:ascii="Calibri" w:hAnsi="Calibri"/>
                <w:spacing w:val="-2"/>
                <w:position w:val="2"/>
              </w:rPr>
              <w:t xml:space="preserve"> </w:t>
            </w:r>
            <w:r>
              <w:rPr>
                <w:rFonts w:ascii="Calibri" w:hAnsi="Calibri" w:hint="cs"/>
                <w:spacing w:val="-2"/>
                <w:position w:val="2"/>
                <w:rtl/>
                <w:lang w:bidi="ar-SA"/>
              </w:rPr>
              <w:t xml:space="preserve"> 176</w:t>
            </w:r>
            <w:r>
              <w:rPr>
                <w:rFonts w:ascii="Calibri" w:hAnsi="Calibri" w:hint="cs"/>
                <w:spacing w:val="-2"/>
                <w:position w:val="2"/>
                <w:rtl/>
              </w:rPr>
              <w:t xml:space="preserve"> </w:t>
            </w:r>
            <w:r w:rsidRPr="00314643">
              <w:rPr>
                <w:rFonts w:ascii="Calibri" w:hAnsi="Calibri" w:hint="cs"/>
                <w:spacing w:val="-2"/>
                <w:position w:val="2"/>
                <w:rtl/>
              </w:rPr>
              <w:t>(</w:t>
            </w:r>
            <w:r w:rsidRPr="00314643">
              <w:rPr>
                <w:rFonts w:ascii="Calibri" w:hAnsi="Calibri"/>
                <w:spacing w:val="-2"/>
                <w:position w:val="2"/>
              </w:rPr>
              <w:t xml:space="preserve"> (Rev.WRC-23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45D5347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rtl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4A</w:t>
            </w:r>
          </w:p>
        </w:tc>
      </w:tr>
      <w:tr w:rsidR="005B72DB" w:rsidRPr="008B3BBF" w14:paraId="17D9E17E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7069A547" w14:textId="77777777" w:rsidR="005B72DB" w:rsidRPr="008B3BBF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1.2</w:t>
            </w:r>
          </w:p>
        </w:tc>
        <w:tc>
          <w:tcPr>
            <w:tcW w:w="3726" w:type="pct"/>
            <w:shd w:val="clear" w:color="auto" w:fill="auto"/>
          </w:tcPr>
          <w:p w14:paraId="1FF693F3" w14:textId="2967DCD8" w:rsidR="005B72DB" w:rsidRPr="008B3BBF" w:rsidRDefault="00314643" w:rsidP="00AC616D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  <w:lang w:bidi="ar-SA"/>
              </w:rPr>
            </w:pPr>
            <w:r w:rsidRPr="00314643">
              <w:rPr>
                <w:rFonts w:ascii="Calibri" w:hAnsi="Calibri"/>
                <w:position w:val="2"/>
                <w:rtl/>
                <w:lang w:val="es-ES"/>
              </w:rPr>
              <w:t xml:space="preserve">النظر في إمكانية مراجعة شروط التقاسم في نطاق التردد </w:t>
            </w:r>
            <w:r w:rsidRPr="00314643">
              <w:rPr>
                <w:rFonts w:ascii="Calibri" w:hAnsi="Calibri"/>
                <w:position w:val="2"/>
                <w:lang w:val="es-ES"/>
              </w:rPr>
              <w:t>14</w:t>
            </w:r>
            <w:r>
              <w:rPr>
                <w:rFonts w:ascii="Calibri" w:hAnsi="Calibri"/>
                <w:position w:val="2"/>
              </w:rPr>
              <w:t>-</w:t>
            </w:r>
            <w:r w:rsidRPr="00314643">
              <w:rPr>
                <w:rFonts w:ascii="Calibri" w:hAnsi="Calibri"/>
                <w:position w:val="2"/>
                <w:lang w:val="es-ES"/>
              </w:rPr>
              <w:t>13,75</w:t>
            </w:r>
            <w:r w:rsidR="005B72DB" w:rsidRPr="00FC628D">
              <w:rPr>
                <w:rFonts w:ascii="Calibri" w:hAnsi="Calibri"/>
                <w:position w:val="2"/>
                <w:rtl/>
                <w:lang w:val="es-ES"/>
              </w:rPr>
              <w:t xml:space="preserve"> </w:t>
            </w:r>
            <w:r w:rsidR="005B72DB">
              <w:rPr>
                <w:rFonts w:ascii="Calibri" w:hAnsi="Calibri" w:hint="cs"/>
                <w:position w:val="2"/>
                <w:rtl/>
                <w:lang w:val="es-ES"/>
              </w:rPr>
              <w:t>جيجا هرتز</w:t>
            </w:r>
            <w:r w:rsidR="005B72DB" w:rsidRPr="00FC628D">
              <w:rPr>
                <w:rFonts w:ascii="Calibri" w:hAnsi="Calibri"/>
                <w:position w:val="2"/>
                <w:rtl/>
                <w:lang w:val="es-ES"/>
              </w:rPr>
              <w:t xml:space="preserve"> </w:t>
            </w:r>
            <w:r w:rsidRPr="00314643">
              <w:rPr>
                <w:rFonts w:ascii="Calibri" w:hAnsi="Calibri"/>
                <w:position w:val="2"/>
                <w:rtl/>
                <w:lang w:val="es-ES"/>
              </w:rPr>
              <w:t xml:space="preserve">لتمكين استعمال محطات أرضية ذات أحجام هوائيات أصغر للخدمة الثابتة </w:t>
            </w:r>
            <w:proofErr w:type="spellStart"/>
            <w:r w:rsidRPr="00314643">
              <w:rPr>
                <w:rFonts w:ascii="Calibri" w:hAnsi="Calibri"/>
                <w:position w:val="2"/>
                <w:rtl/>
                <w:lang w:val="es-ES"/>
              </w:rPr>
              <w:t>الساتلية</w:t>
            </w:r>
            <w:proofErr w:type="spellEnd"/>
            <w:r w:rsidRPr="00314643">
              <w:rPr>
                <w:rFonts w:ascii="Calibri" w:hAnsi="Calibri"/>
                <w:position w:val="2"/>
                <w:rtl/>
                <w:lang w:val="es-ES"/>
              </w:rPr>
              <w:t xml:space="preserve"> في الوصلة الصاعدة، وفقاً للقرار 129 (</w:t>
            </w:r>
            <w:r w:rsidRPr="00314643">
              <w:rPr>
                <w:rFonts w:ascii="Calibri" w:hAnsi="Calibri"/>
                <w:position w:val="2"/>
                <w:lang w:val="es-ES"/>
              </w:rPr>
              <w:t>WRC-23</w:t>
            </w:r>
            <w:r w:rsidRPr="00314643">
              <w:rPr>
                <w:rFonts w:ascii="Calibri" w:hAnsi="Calibri"/>
                <w:position w:val="2"/>
                <w:rtl/>
                <w:lang w:val="es-ES"/>
              </w:rPr>
              <w:t>)</w:t>
            </w:r>
            <w:r>
              <w:rPr>
                <w:rFonts w:ascii="Calibri" w:hAnsi="Calibri" w:hint="cs"/>
                <w:position w:val="2"/>
                <w:rtl/>
                <w:lang w:val="es-ES"/>
              </w:rPr>
              <w:t>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1968E31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rtl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4A &amp; WP 5B</w:t>
            </w:r>
          </w:p>
        </w:tc>
      </w:tr>
      <w:tr w:rsidR="005B72DB" w:rsidRPr="008B3BBF" w14:paraId="4DB585E4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1CAC63A3" w14:textId="77777777" w:rsidR="005B72DB" w:rsidRPr="008B3BBF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  <w:lang w:bidi="ar-SA"/>
              </w:rPr>
            </w:pPr>
            <w:r>
              <w:rPr>
                <w:rFonts w:ascii="Traditional Arabic" w:hAnsi="Traditional Arabic" w:hint="cs"/>
                <w:sz w:val="26"/>
                <w:rtl/>
                <w:lang w:bidi="ar-SA"/>
              </w:rPr>
              <w:t>1.3</w:t>
            </w:r>
          </w:p>
        </w:tc>
        <w:tc>
          <w:tcPr>
            <w:tcW w:w="3726" w:type="pct"/>
            <w:shd w:val="clear" w:color="auto" w:fill="auto"/>
          </w:tcPr>
          <w:p w14:paraId="1C7714EC" w14:textId="38438A44" w:rsidR="005B72DB" w:rsidRPr="00433CC9" w:rsidRDefault="00314643" w:rsidP="00AC616D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lang w:bidi="ar-SA"/>
              </w:rPr>
            </w:pPr>
            <w:r w:rsidRPr="00314643">
              <w:rPr>
                <w:rFonts w:ascii="Calibri" w:hAnsi="Calibri"/>
                <w:spacing w:val="-2"/>
                <w:position w:val="2"/>
                <w:rtl/>
                <w:lang w:val="es-ES"/>
              </w:rPr>
              <w:t xml:space="preserve">النظر في دراسات بشأن استعمال نطاق التردد </w:t>
            </w:r>
            <w:r w:rsidRPr="00314643">
              <w:rPr>
                <w:rFonts w:ascii="Calibri" w:hAnsi="Calibri"/>
                <w:spacing w:val="-2"/>
                <w:position w:val="2"/>
                <w:lang w:val="es-ES"/>
              </w:rPr>
              <w:t>52,4-51,4</w:t>
            </w:r>
            <w:r w:rsidRPr="00314643">
              <w:rPr>
                <w:rFonts w:ascii="Calibri" w:hAnsi="Calibri"/>
                <w:spacing w:val="-2"/>
                <w:position w:val="2"/>
                <w:rtl/>
                <w:lang w:val="es-ES"/>
              </w:rPr>
              <w:t xml:space="preserve"> </w:t>
            </w:r>
            <w:r>
              <w:rPr>
                <w:rFonts w:ascii="Calibri" w:hAnsi="Calibri" w:hint="cs"/>
                <w:position w:val="2"/>
                <w:rtl/>
                <w:lang w:val="es-ES"/>
              </w:rPr>
              <w:t>جيجا هرتز</w:t>
            </w:r>
            <w:r w:rsidRPr="00FC628D">
              <w:rPr>
                <w:rFonts w:ascii="Calibri" w:hAnsi="Calibri"/>
                <w:position w:val="2"/>
                <w:rtl/>
                <w:lang w:val="es-ES"/>
              </w:rPr>
              <w:t xml:space="preserve"> </w:t>
            </w:r>
            <w:r w:rsidRPr="00314643">
              <w:rPr>
                <w:rFonts w:ascii="Calibri" w:hAnsi="Calibri"/>
                <w:spacing w:val="-2"/>
                <w:position w:val="2"/>
                <w:rtl/>
                <w:lang w:val="es-ES"/>
              </w:rPr>
              <w:t xml:space="preserve">لتمكين المحطات الأرضية للبوابات المرسِلة إلى أنظمة الخدمة الثابتة </w:t>
            </w:r>
            <w:proofErr w:type="spellStart"/>
            <w:r w:rsidRPr="00314643">
              <w:rPr>
                <w:rFonts w:ascii="Calibri" w:hAnsi="Calibri"/>
                <w:spacing w:val="-2"/>
                <w:position w:val="2"/>
                <w:rtl/>
                <w:lang w:val="es-ES"/>
              </w:rPr>
              <w:t>الساتلية</w:t>
            </w:r>
            <w:proofErr w:type="spellEnd"/>
            <w:r w:rsidRPr="00314643">
              <w:rPr>
                <w:rFonts w:ascii="Calibri" w:hAnsi="Calibri"/>
                <w:spacing w:val="-2"/>
                <w:position w:val="2"/>
                <w:rtl/>
                <w:lang w:val="es-ES"/>
              </w:rPr>
              <w:t xml:space="preserve"> العاملة في مدارات </w:t>
            </w:r>
            <w:proofErr w:type="spellStart"/>
            <w:r w:rsidRPr="00314643">
              <w:rPr>
                <w:rFonts w:ascii="Calibri" w:hAnsi="Calibri"/>
                <w:spacing w:val="-2"/>
                <w:position w:val="2"/>
                <w:rtl/>
                <w:lang w:val="es-ES"/>
              </w:rPr>
              <w:t>ساتلية</w:t>
            </w:r>
            <w:proofErr w:type="spellEnd"/>
            <w:r w:rsidRPr="00314643">
              <w:rPr>
                <w:rFonts w:ascii="Calibri" w:hAnsi="Calibri"/>
                <w:spacing w:val="-2"/>
                <w:position w:val="2"/>
                <w:rtl/>
                <w:lang w:val="es-ES"/>
              </w:rPr>
              <w:t xml:space="preserve"> غير مستقرة بالنسبة إلى الأرض (أرض-فضاء) من استعمالها وفقاً للقرار 130 (</w:t>
            </w:r>
            <w:r w:rsidRPr="00314643">
              <w:rPr>
                <w:rFonts w:ascii="Calibri" w:hAnsi="Calibri"/>
                <w:spacing w:val="-2"/>
                <w:position w:val="2"/>
                <w:lang w:val="es-ES"/>
              </w:rPr>
              <w:t>WRC-23</w:t>
            </w:r>
            <w:r w:rsidRPr="00314643">
              <w:rPr>
                <w:rFonts w:ascii="Calibri" w:hAnsi="Calibri"/>
                <w:spacing w:val="-2"/>
                <w:position w:val="2"/>
                <w:rtl/>
                <w:lang w:val="es-ES"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F6A57C3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rtl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4A</w:t>
            </w:r>
          </w:p>
        </w:tc>
      </w:tr>
      <w:tr w:rsidR="005B72DB" w:rsidRPr="008B3BBF" w14:paraId="47A962D1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47DE628E" w14:textId="77777777" w:rsidR="005B72DB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1.4</w:t>
            </w:r>
          </w:p>
        </w:tc>
        <w:tc>
          <w:tcPr>
            <w:tcW w:w="3726" w:type="pct"/>
            <w:shd w:val="clear" w:color="auto" w:fill="auto"/>
          </w:tcPr>
          <w:p w14:paraId="3977BC8D" w14:textId="0F9ACD15" w:rsidR="005B72DB" w:rsidRPr="00140F74" w:rsidRDefault="00463D34" w:rsidP="00AC616D">
            <w:pPr>
              <w:pStyle w:val="Tabletexte"/>
              <w:spacing w:before="0" w:after="0" w:line="240" w:lineRule="auto"/>
              <w:rPr>
                <w:rFonts w:ascii="Calibri" w:hAnsi="Calibri"/>
                <w:position w:val="2"/>
                <w:rtl/>
                <w:lang w:val="es-ES"/>
              </w:rPr>
            </w:pPr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 xml:space="preserve">النظر في توزيع أولي جديد محتمل للخدمة الثابتة </w:t>
            </w:r>
            <w:proofErr w:type="spellStart"/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>الساتلية</w:t>
            </w:r>
            <w:proofErr w:type="spellEnd"/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 xml:space="preserve"> (فضاء-أرض) في نطاق التردد </w:t>
            </w:r>
            <w:r w:rsidRPr="00463D34">
              <w:rPr>
                <w:rFonts w:ascii="Calibri" w:hAnsi="Calibri"/>
                <w:b/>
                <w:position w:val="2"/>
                <w:szCs w:val="20"/>
                <w:rtl/>
                <w:lang w:val="es-ES" w:bidi="ar-EG"/>
              </w:rPr>
              <w:t>17,3</w:t>
            </w:r>
            <w:r w:rsidRPr="00463D34">
              <w:rPr>
                <w:rFonts w:ascii="Calibri" w:hAnsi="Calibri" w:hint="cs"/>
                <w:b/>
                <w:position w:val="2"/>
                <w:szCs w:val="20"/>
                <w:rtl/>
                <w:lang w:val="es-ES" w:bidi="ar-EG"/>
              </w:rPr>
              <w:t>-</w:t>
            </w:r>
            <w:r w:rsidRPr="00463D34">
              <w:rPr>
                <w:rFonts w:ascii="Calibri" w:hAnsi="Calibri"/>
                <w:b/>
                <w:position w:val="2"/>
                <w:szCs w:val="20"/>
                <w:rtl/>
                <w:lang w:val="es-ES" w:bidi="ar-EG"/>
              </w:rPr>
              <w:t xml:space="preserve"> 17,7</w:t>
            </w:r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 xml:space="preserve"> </w:t>
            </w:r>
            <w:r>
              <w:rPr>
                <w:rFonts w:ascii="Calibri" w:hAnsi="Calibri" w:hint="cs"/>
                <w:position w:val="2"/>
                <w:rtl/>
                <w:lang w:val="es-ES"/>
              </w:rPr>
              <w:t>جيجا هرتز</w:t>
            </w:r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 xml:space="preserve"> وتوزيع أولي جديد محتمل للخدمة الإذاعية </w:t>
            </w:r>
            <w:proofErr w:type="spellStart"/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>الساتلية</w:t>
            </w:r>
            <w:proofErr w:type="spellEnd"/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 xml:space="preserve"> (فضاء-أرض) في نطاق التردد </w:t>
            </w:r>
            <w:r w:rsidRPr="00463D34">
              <w:rPr>
                <w:rFonts w:ascii="Calibri" w:hAnsi="Calibri"/>
                <w:b/>
                <w:position w:val="2"/>
                <w:szCs w:val="20"/>
                <w:rtl/>
                <w:lang w:val="es-ES" w:bidi="ar-EG"/>
              </w:rPr>
              <w:t>17</w:t>
            </w:r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>,</w:t>
            </w:r>
            <w:r w:rsidRPr="00463D34">
              <w:rPr>
                <w:rFonts w:ascii="Calibri" w:hAnsi="Calibri"/>
                <w:b/>
                <w:position w:val="2"/>
                <w:szCs w:val="20"/>
                <w:rtl/>
                <w:lang w:val="es-ES" w:bidi="ar-EG"/>
              </w:rPr>
              <w:t xml:space="preserve">3 </w:t>
            </w:r>
            <w:r w:rsidRPr="00463D34">
              <w:rPr>
                <w:rFonts w:ascii="Calibri" w:hAnsi="Calibri" w:hint="cs"/>
                <w:b/>
                <w:position w:val="2"/>
                <w:szCs w:val="20"/>
                <w:rtl/>
                <w:lang w:val="es-ES" w:bidi="ar-EG"/>
              </w:rPr>
              <w:t>-</w:t>
            </w:r>
            <w:r w:rsidRPr="00463D34">
              <w:rPr>
                <w:rFonts w:ascii="Calibri" w:hAnsi="Calibri"/>
                <w:b/>
                <w:position w:val="2"/>
                <w:szCs w:val="20"/>
                <w:rtl/>
                <w:lang w:val="es-ES" w:bidi="ar-EG"/>
              </w:rPr>
              <w:t xml:space="preserve">17,8 </w:t>
            </w:r>
            <w:r>
              <w:rPr>
                <w:rFonts w:ascii="Calibri" w:hAnsi="Calibri" w:hint="cs"/>
                <w:b/>
                <w:position w:val="2"/>
                <w:rtl/>
                <w:lang w:val="es-ES" w:bidi="ar-EG"/>
              </w:rPr>
              <w:t xml:space="preserve"> </w:t>
            </w:r>
            <w:r>
              <w:rPr>
                <w:rFonts w:ascii="Calibri" w:hAnsi="Calibri" w:hint="cs"/>
                <w:position w:val="2"/>
                <w:rtl/>
                <w:lang w:val="es-ES"/>
              </w:rPr>
              <w:t>جيجا هرتز</w:t>
            </w:r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 xml:space="preserve"> في الإقليم 3، مع ضمان حماية التوزيعات الأولية القائمة في نطاقي التردد نفسهما وفي النطاقات المجاورة، والنظر في وضع حدود لكثافة تدفق القدرة المكافئة (</w:t>
            </w:r>
            <w:proofErr w:type="spellStart"/>
            <w:r w:rsidRPr="00463D34">
              <w:rPr>
                <w:rFonts w:ascii="Calibri" w:hAnsi="Calibri"/>
                <w:b/>
                <w:position w:val="2"/>
                <w:lang w:val="es-ES" w:bidi="ar-EG"/>
              </w:rPr>
              <w:t>epfd</w:t>
            </w:r>
            <w:proofErr w:type="spellEnd"/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 xml:space="preserve">) تنطبق في الإقليمين 1 و3 على الأنظمة </w:t>
            </w:r>
            <w:proofErr w:type="spellStart"/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>الساتلية</w:t>
            </w:r>
            <w:proofErr w:type="spellEnd"/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 xml:space="preserve"> غير المستقرة بالنسبة إلى الأرض في الخدمة الثابتة </w:t>
            </w:r>
            <w:proofErr w:type="spellStart"/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>الساتلية</w:t>
            </w:r>
            <w:proofErr w:type="spellEnd"/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 xml:space="preserve"> (فضاء-أرض) في نطاق التردد ,</w:t>
            </w:r>
            <w:r w:rsidRPr="00463D34">
              <w:rPr>
                <w:rFonts w:ascii="Calibri" w:hAnsi="Calibri"/>
                <w:b/>
                <w:position w:val="2"/>
                <w:szCs w:val="20"/>
                <w:rtl/>
                <w:lang w:val="es-ES" w:bidi="ar-EG"/>
              </w:rPr>
              <w:t xml:space="preserve"> 17,3</w:t>
            </w:r>
            <w:r w:rsidRPr="00463D34">
              <w:rPr>
                <w:rFonts w:ascii="Calibri" w:hAnsi="Calibri" w:hint="cs"/>
                <w:b/>
                <w:position w:val="2"/>
                <w:szCs w:val="20"/>
                <w:rtl/>
                <w:lang w:val="es-ES" w:bidi="ar-EG"/>
              </w:rPr>
              <w:t>-</w:t>
            </w:r>
            <w:r w:rsidRPr="00463D34">
              <w:rPr>
                <w:rFonts w:ascii="Calibri" w:hAnsi="Calibri"/>
                <w:b/>
                <w:position w:val="2"/>
                <w:szCs w:val="20"/>
                <w:rtl/>
                <w:lang w:val="es-ES" w:bidi="ar-EG"/>
              </w:rPr>
              <w:t xml:space="preserve"> 17,7</w:t>
            </w:r>
            <w:r>
              <w:rPr>
                <w:rFonts w:ascii="Calibri" w:hAnsi="Calibri" w:hint="cs"/>
                <w:position w:val="2"/>
                <w:rtl/>
                <w:lang w:val="es-ES"/>
              </w:rPr>
              <w:t>جيجا هرتز</w:t>
            </w:r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 xml:space="preserve"> ، وفقاً للقرار 726 (</w:t>
            </w:r>
            <w:r w:rsidRPr="00463D34">
              <w:rPr>
                <w:rFonts w:ascii="Calibri" w:hAnsi="Calibri"/>
                <w:b/>
                <w:position w:val="2"/>
                <w:lang w:val="es-ES" w:bidi="ar-EG"/>
              </w:rPr>
              <w:t>WRC 23</w:t>
            </w:r>
            <w:r w:rsidRPr="00463D34">
              <w:rPr>
                <w:rFonts w:ascii="Calibri" w:hAnsi="Calibri"/>
                <w:b/>
                <w:position w:val="2"/>
                <w:rtl/>
                <w:lang w:val="es-ES" w:bidi="ar-EG"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1893454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4A</w:t>
            </w:r>
          </w:p>
        </w:tc>
      </w:tr>
      <w:tr w:rsidR="005B72DB" w:rsidRPr="008B3BBF" w14:paraId="02A52849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4840BFC5" w14:textId="77777777" w:rsidR="005B72DB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lang w:bidi="ar-SA"/>
              </w:rPr>
            </w:pPr>
            <w:r>
              <w:rPr>
                <w:rFonts w:ascii="Traditional Arabic" w:hAnsi="Traditional Arabic" w:hint="cs"/>
                <w:sz w:val="26"/>
                <w:rtl/>
                <w:lang w:bidi="ar-SA"/>
              </w:rPr>
              <w:t>1.5</w:t>
            </w:r>
          </w:p>
        </w:tc>
        <w:tc>
          <w:tcPr>
            <w:tcW w:w="3726" w:type="pct"/>
            <w:shd w:val="clear" w:color="auto" w:fill="auto"/>
          </w:tcPr>
          <w:p w14:paraId="7709CC38" w14:textId="2B89B732" w:rsidR="005B72DB" w:rsidRPr="00140F74" w:rsidRDefault="00463D34" w:rsidP="00AC616D">
            <w:pPr>
              <w:pStyle w:val="Tabletexte"/>
              <w:spacing w:before="0" w:after="0" w:line="240" w:lineRule="auto"/>
              <w:rPr>
                <w:rFonts w:ascii="Calibri" w:hAnsi="Calibri"/>
                <w:position w:val="2"/>
                <w:rtl/>
                <w:lang w:val="es-ES"/>
              </w:rPr>
            </w:pPr>
            <w:r w:rsidRPr="00463D34">
              <w:rPr>
                <w:rFonts w:ascii="Calibri" w:hAnsi="Calibri"/>
                <w:position w:val="2"/>
                <w:rtl/>
                <w:lang w:val="es-ES"/>
              </w:rPr>
              <w:t xml:space="preserve">النظر في التدابير التنظيمية وإمكانية تنفيذها للحد من العمليات غير المصرح بها للمحطات الأرضية غير المستقرة بالنسبة إلى الأرض في الخدمة الثابتة </w:t>
            </w:r>
            <w:proofErr w:type="spellStart"/>
            <w:r w:rsidRPr="00463D34">
              <w:rPr>
                <w:rFonts w:ascii="Calibri" w:hAnsi="Calibri"/>
                <w:position w:val="2"/>
                <w:rtl/>
                <w:lang w:val="es-ES"/>
              </w:rPr>
              <w:t>الساتلية</w:t>
            </w:r>
            <w:proofErr w:type="spellEnd"/>
            <w:r w:rsidRPr="00463D34">
              <w:rPr>
                <w:rFonts w:ascii="Calibri" w:hAnsi="Calibri"/>
                <w:position w:val="2"/>
                <w:rtl/>
                <w:lang w:val="es-ES"/>
              </w:rPr>
              <w:t xml:space="preserve"> والخدمة المتنقلة </w:t>
            </w:r>
            <w:proofErr w:type="spellStart"/>
            <w:r w:rsidRPr="00463D34">
              <w:rPr>
                <w:rFonts w:ascii="Calibri" w:hAnsi="Calibri"/>
                <w:position w:val="2"/>
                <w:rtl/>
                <w:lang w:val="es-ES"/>
              </w:rPr>
              <w:t>الساتلية</w:t>
            </w:r>
            <w:proofErr w:type="spellEnd"/>
            <w:r w:rsidRPr="00463D34">
              <w:rPr>
                <w:rFonts w:ascii="Calibri" w:hAnsi="Calibri"/>
                <w:position w:val="2"/>
                <w:rtl/>
                <w:lang w:val="es-ES"/>
              </w:rPr>
              <w:t xml:space="preserve"> والمسائل المتعلقة بها ذات الصلة بمنطقة خدمة الأنظمة </w:t>
            </w:r>
            <w:proofErr w:type="spellStart"/>
            <w:r w:rsidRPr="00463D34">
              <w:rPr>
                <w:rFonts w:ascii="Calibri" w:hAnsi="Calibri"/>
                <w:position w:val="2"/>
                <w:rtl/>
                <w:lang w:val="es-ES"/>
              </w:rPr>
              <w:t>الساتلية</w:t>
            </w:r>
            <w:proofErr w:type="spellEnd"/>
            <w:r w:rsidRPr="00463D34">
              <w:rPr>
                <w:rFonts w:ascii="Calibri" w:hAnsi="Calibri"/>
                <w:position w:val="2"/>
                <w:rtl/>
                <w:lang w:val="es-ES"/>
              </w:rPr>
              <w:t xml:space="preserve"> غير المستقرة بالنسبة إلى الأرض في الخدمة الثابتة </w:t>
            </w:r>
            <w:proofErr w:type="spellStart"/>
            <w:r w:rsidRPr="00463D34">
              <w:rPr>
                <w:rFonts w:ascii="Calibri" w:hAnsi="Calibri"/>
                <w:position w:val="2"/>
                <w:rtl/>
                <w:lang w:val="es-ES"/>
              </w:rPr>
              <w:t>الساتلية</w:t>
            </w:r>
            <w:proofErr w:type="spellEnd"/>
            <w:r w:rsidRPr="00463D34">
              <w:rPr>
                <w:rFonts w:ascii="Calibri" w:hAnsi="Calibri"/>
                <w:position w:val="2"/>
                <w:rtl/>
                <w:lang w:val="es-ES"/>
              </w:rPr>
              <w:t xml:space="preserve"> والخدمة المتنقلة </w:t>
            </w:r>
            <w:proofErr w:type="spellStart"/>
            <w:r w:rsidRPr="00463D34">
              <w:rPr>
                <w:rFonts w:ascii="Calibri" w:hAnsi="Calibri"/>
                <w:position w:val="2"/>
                <w:rtl/>
                <w:lang w:val="es-ES"/>
              </w:rPr>
              <w:t>الساتلية</w:t>
            </w:r>
            <w:proofErr w:type="spellEnd"/>
            <w:r w:rsidRPr="00463D34">
              <w:rPr>
                <w:rFonts w:ascii="Calibri" w:hAnsi="Calibri"/>
                <w:position w:val="2"/>
                <w:rtl/>
                <w:lang w:val="es-ES"/>
              </w:rPr>
              <w:t xml:space="preserve"> وفقاً للقرار 14 (</w:t>
            </w:r>
            <w:r w:rsidRPr="00463D34">
              <w:rPr>
                <w:rFonts w:ascii="Calibri" w:hAnsi="Calibri"/>
                <w:position w:val="2"/>
                <w:lang w:val="es-ES"/>
              </w:rPr>
              <w:t>WRC-23</w:t>
            </w:r>
            <w:r w:rsidRPr="00463D34">
              <w:rPr>
                <w:rFonts w:ascii="Calibri" w:hAnsi="Calibri"/>
                <w:position w:val="2"/>
                <w:rtl/>
                <w:lang w:val="es-ES"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DEC7083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4A</w:t>
            </w:r>
          </w:p>
        </w:tc>
      </w:tr>
      <w:tr w:rsidR="005B72DB" w:rsidRPr="008B3BBF" w14:paraId="1F75284E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15073211" w14:textId="77777777" w:rsidR="005B72DB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  <w:lang w:bidi="ar-SA"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1.6</w:t>
            </w:r>
          </w:p>
        </w:tc>
        <w:tc>
          <w:tcPr>
            <w:tcW w:w="3726" w:type="pct"/>
            <w:shd w:val="clear" w:color="auto" w:fill="auto"/>
          </w:tcPr>
          <w:p w14:paraId="50187CD6" w14:textId="17A51490" w:rsidR="005B72DB" w:rsidRPr="00140F74" w:rsidRDefault="005B72DB" w:rsidP="00AC616D">
            <w:pPr>
              <w:pStyle w:val="Tabletexte"/>
              <w:spacing w:before="0" w:after="0" w:line="240" w:lineRule="auto"/>
              <w:rPr>
                <w:rFonts w:ascii="Calibri" w:hAnsi="Calibri"/>
                <w:position w:val="2"/>
                <w:rtl/>
                <w:lang w:val="es-ES"/>
              </w:rPr>
            </w:pPr>
            <w:r w:rsidRPr="00AC2F29">
              <w:rPr>
                <w:rFonts w:ascii="Traditional Arabic" w:hAnsi="Traditional Arabic"/>
                <w:sz w:val="26"/>
                <w:rtl/>
              </w:rPr>
              <w:t>النظر في التدابير التقنية والتنظيمية لشبكات/أنظمة الخدمة</w:t>
            </w:r>
            <w:r>
              <w:rPr>
                <w:rFonts w:ascii="Traditional Arabic" w:hAnsi="Traditional Arabic" w:hint="cs"/>
                <w:sz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hint="cs"/>
                <w:sz w:val="26"/>
                <w:rtl/>
              </w:rPr>
              <w:t>الساتلية</w:t>
            </w:r>
            <w:proofErr w:type="spellEnd"/>
            <w:r w:rsidRPr="00AC2F29">
              <w:rPr>
                <w:rFonts w:ascii="Traditional Arabic" w:hAnsi="Traditional Arabic"/>
                <w:sz w:val="26"/>
                <w:rtl/>
              </w:rPr>
              <w:t xml:space="preserve"> الثابتة في نطاقات التردد </w:t>
            </w:r>
            <w:r w:rsidRPr="00463D34">
              <w:rPr>
                <w:rFonts w:ascii="Traditional Arabic" w:hAnsi="Traditional Arabic"/>
                <w:szCs w:val="20"/>
                <w:rtl/>
              </w:rPr>
              <w:t>37,5-42,5</w:t>
            </w:r>
            <w:r w:rsidRPr="00AC2F29">
              <w:rPr>
                <w:rFonts w:ascii="Traditional Arabic" w:hAnsi="Traditional Arabic"/>
                <w:sz w:val="26"/>
                <w:rtl/>
              </w:rPr>
              <w:t xml:space="preserve"> جيجا هرتز (فضاء-أرض)، </w:t>
            </w:r>
            <w:r w:rsidRPr="00463D34">
              <w:rPr>
                <w:rFonts w:ascii="Traditional Arabic" w:hAnsi="Traditional Arabic"/>
                <w:szCs w:val="20"/>
                <w:rtl/>
              </w:rPr>
              <w:t xml:space="preserve">42,5-43,5 </w:t>
            </w:r>
            <w:r w:rsidRPr="00AC2F29">
              <w:rPr>
                <w:rFonts w:ascii="Traditional Arabic" w:hAnsi="Traditional Arabic"/>
                <w:sz w:val="26"/>
                <w:rtl/>
              </w:rPr>
              <w:t>جيجا هرتز (أرض-فضاء)،</w:t>
            </w:r>
            <w:r w:rsidRPr="00463D34">
              <w:rPr>
                <w:rFonts w:ascii="Traditional Arabic" w:hAnsi="Traditional Arabic"/>
                <w:szCs w:val="20"/>
                <w:rtl/>
              </w:rPr>
              <w:t xml:space="preserve"> 47,2-50,2</w:t>
            </w:r>
            <w:r w:rsidRPr="00AC2F29">
              <w:rPr>
                <w:rFonts w:ascii="Traditional Arabic" w:hAnsi="Traditional Arabic"/>
                <w:sz w:val="26"/>
                <w:rtl/>
              </w:rPr>
              <w:t xml:space="preserve"> جيجا هرتز (أرض- </w:t>
            </w:r>
            <w:r>
              <w:rPr>
                <w:rFonts w:ascii="Traditional Arabic" w:hAnsi="Traditional Arabic" w:hint="cs"/>
                <w:sz w:val="26"/>
                <w:rtl/>
              </w:rPr>
              <w:t>فضاء</w:t>
            </w:r>
            <w:r w:rsidRPr="00AC2F29">
              <w:rPr>
                <w:rFonts w:ascii="Traditional Arabic" w:hAnsi="Traditional Arabic"/>
                <w:sz w:val="26"/>
                <w:rtl/>
              </w:rPr>
              <w:t>) و</w:t>
            </w:r>
            <w:r w:rsidRPr="00463D34">
              <w:rPr>
                <w:rFonts w:ascii="Traditional Arabic" w:hAnsi="Traditional Arabic"/>
                <w:szCs w:val="20"/>
                <w:rtl/>
              </w:rPr>
              <w:t xml:space="preserve">50,4-51,4 </w:t>
            </w:r>
            <w:r w:rsidRPr="00AC2F29">
              <w:rPr>
                <w:rFonts w:ascii="Traditional Arabic" w:hAnsi="Traditional Arabic"/>
                <w:sz w:val="26"/>
                <w:rtl/>
              </w:rPr>
              <w:t xml:space="preserve">جيجا هرتز (أرض-فضاء) للوصول العادل إلى </w:t>
            </w:r>
            <w:r>
              <w:rPr>
                <w:rFonts w:ascii="Traditional Arabic" w:hAnsi="Traditional Arabic" w:hint="cs"/>
                <w:sz w:val="26"/>
                <w:rtl/>
              </w:rPr>
              <w:t>هذه ال</w:t>
            </w:r>
            <w:r w:rsidRPr="00AC2F29">
              <w:rPr>
                <w:rFonts w:ascii="Traditional Arabic" w:hAnsi="Traditional Arabic"/>
                <w:sz w:val="26"/>
                <w:rtl/>
              </w:rPr>
              <w:t xml:space="preserve">نطاقات </w:t>
            </w:r>
            <w:r w:rsidRPr="00AC2F29">
              <w:rPr>
                <w:rFonts w:ascii="Traditional Arabic" w:hAnsi="Traditional Arabic" w:hint="cs"/>
                <w:sz w:val="26"/>
                <w:rtl/>
              </w:rPr>
              <w:t>التر</w:t>
            </w:r>
            <w:r>
              <w:rPr>
                <w:rFonts w:ascii="Traditional Arabic" w:hAnsi="Traditional Arabic" w:hint="cs"/>
                <w:sz w:val="26"/>
                <w:rtl/>
              </w:rPr>
              <w:t>ددية</w:t>
            </w:r>
            <w:r w:rsidR="00463D34">
              <w:rPr>
                <w:rFonts w:ascii="Traditional Arabic" w:hAnsi="Traditional Arabic" w:hint="cs"/>
                <w:sz w:val="26"/>
                <w:rtl/>
              </w:rPr>
              <w:t xml:space="preserve">، </w:t>
            </w:r>
            <w:r w:rsidR="00463D34" w:rsidRPr="00463D34">
              <w:rPr>
                <w:rFonts w:ascii="Traditional Arabic" w:hAnsi="Traditional Arabic"/>
                <w:sz w:val="26"/>
                <w:rtl/>
              </w:rPr>
              <w:t xml:space="preserve">وفقاً للقرار </w:t>
            </w:r>
            <w:r w:rsidR="00463D34" w:rsidRPr="00463D34">
              <w:rPr>
                <w:rFonts w:ascii="Traditional Arabic" w:hAnsi="Traditional Arabic"/>
                <w:b/>
                <w:bCs/>
                <w:sz w:val="26"/>
                <w:rtl/>
              </w:rPr>
              <w:t>131</w:t>
            </w:r>
            <w:r w:rsidR="00463D34" w:rsidRPr="00463D34">
              <w:rPr>
                <w:rFonts w:ascii="Traditional Arabic" w:hAnsi="Traditional Arabic"/>
                <w:sz w:val="26"/>
                <w:rtl/>
              </w:rPr>
              <w:t xml:space="preserve"> (</w:t>
            </w:r>
            <w:r w:rsidR="00463D34" w:rsidRPr="00463D34">
              <w:rPr>
                <w:rFonts w:ascii="Traditional Arabic" w:hAnsi="Traditional Arabic"/>
                <w:sz w:val="26"/>
              </w:rPr>
              <w:t>WRC 23</w:t>
            </w:r>
            <w:r w:rsidR="00463D34" w:rsidRPr="00463D34">
              <w:rPr>
                <w:rFonts w:ascii="Traditional Arabic" w:hAnsi="Traditional Arabic"/>
                <w:sz w:val="26"/>
                <w:rtl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679F33C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4A</w:t>
            </w:r>
          </w:p>
        </w:tc>
      </w:tr>
      <w:tr w:rsidR="005B72DB" w:rsidRPr="008B3BBF" w14:paraId="6CCBD5C5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18B99175" w14:textId="77777777" w:rsidR="005B72DB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7</w:t>
            </w:r>
          </w:p>
        </w:tc>
        <w:tc>
          <w:tcPr>
            <w:tcW w:w="3726" w:type="pct"/>
            <w:shd w:val="clear" w:color="auto" w:fill="auto"/>
          </w:tcPr>
          <w:p w14:paraId="220DE190" w14:textId="132070DE" w:rsidR="005B72DB" w:rsidRPr="00205448" w:rsidRDefault="005B72DB" w:rsidP="00AC616D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</w:rPr>
            </w:pPr>
            <w:r w:rsidRPr="001C74A5">
              <w:rPr>
                <w:rFonts w:ascii="Traditional Arabic" w:hAnsi="Traditional Arabic"/>
                <w:sz w:val="26"/>
                <w:rtl/>
              </w:rPr>
              <w:t xml:space="preserve">النظر في التغييرات الممكنة، </w:t>
            </w:r>
            <w:r w:rsidR="00460C15">
              <w:rPr>
                <w:rFonts w:ascii="Traditional Arabic" w:hAnsi="Traditional Arabic" w:hint="cs"/>
                <w:sz w:val="26"/>
                <w:rtl/>
              </w:rPr>
              <w:t>تطبيقاً</w:t>
            </w:r>
            <w:r w:rsidRPr="001C74A5">
              <w:rPr>
                <w:rFonts w:ascii="Traditional Arabic" w:hAnsi="Traditional Arabic"/>
                <w:sz w:val="26"/>
                <w:rtl/>
              </w:rPr>
              <w:t xml:space="preserve"> للقرار</w:t>
            </w:r>
            <w:r>
              <w:rPr>
                <w:rFonts w:ascii="Traditional Arabic" w:hAnsi="Traditional Arabic" w:hint="cs"/>
                <w:sz w:val="26"/>
                <w:rtl/>
              </w:rPr>
              <w:t xml:space="preserve"> رقم</w:t>
            </w:r>
            <w:r w:rsidRPr="001C74A5">
              <w:rPr>
                <w:rFonts w:ascii="Traditional Arabic" w:hAnsi="Traditional Arabic"/>
                <w:sz w:val="26"/>
                <w:rtl/>
              </w:rPr>
              <w:t xml:space="preserve"> 86 (المراجَع في مراكش، 2002) لمؤتمر المندوبين المفوضين، بشأن إجراءات النشر المسبق والتنسيق والتبليغ والتسجيل لتخصيصات التردد المتعلقة بالشبكات </w:t>
            </w:r>
            <w:proofErr w:type="spellStart"/>
            <w:r w:rsidRPr="001C74A5">
              <w:rPr>
                <w:rFonts w:ascii="Traditional Arabic" w:hAnsi="Traditional Arabic"/>
                <w:sz w:val="26"/>
                <w:rtl/>
              </w:rPr>
              <w:t>الساتلية</w:t>
            </w:r>
            <w:proofErr w:type="spellEnd"/>
            <w:r w:rsidRPr="001C74A5">
              <w:rPr>
                <w:rFonts w:ascii="Traditional Arabic" w:hAnsi="Traditional Arabic"/>
                <w:sz w:val="26"/>
                <w:rtl/>
              </w:rPr>
              <w:t>، وفقاً للقرار</w:t>
            </w:r>
            <w:r>
              <w:rPr>
                <w:rFonts w:ascii="Traditional Arabic" w:hAnsi="Traditional Arabic"/>
                <w:sz w:val="26"/>
              </w:rPr>
              <w:t xml:space="preserve"> </w:t>
            </w:r>
            <w:r>
              <w:rPr>
                <w:rFonts w:ascii="Traditional Arabic" w:hAnsi="Traditional Arabic" w:hint="cs"/>
                <w:sz w:val="26"/>
                <w:rtl/>
                <w:lang w:bidi="ar-SA"/>
              </w:rPr>
              <w:t>رقم</w:t>
            </w:r>
            <w:r w:rsidRPr="001C74A5">
              <w:rPr>
                <w:rFonts w:ascii="Traditional Arabic" w:hAnsi="Traditional Arabic"/>
                <w:sz w:val="26"/>
                <w:rtl/>
              </w:rPr>
              <w:t xml:space="preserve"> 86 </w:t>
            </w:r>
            <w:r>
              <w:rPr>
                <w:rFonts w:ascii="Traditional Arabic" w:hAnsi="Traditional Arabic" w:hint="cs"/>
                <w:sz w:val="26"/>
                <w:rtl/>
              </w:rPr>
              <w:t>(</w:t>
            </w:r>
            <w:r w:rsidRPr="001C74A5">
              <w:rPr>
                <w:rFonts w:ascii="Traditional Arabic" w:hAnsi="Traditional Arabic"/>
                <w:sz w:val="26"/>
                <w:rtl/>
              </w:rPr>
              <w:t xml:space="preserve">المراجَع </w:t>
            </w:r>
            <w:r w:rsidRPr="001C74A5">
              <w:rPr>
                <w:rFonts w:ascii="Traditional Arabic" w:hAnsi="Traditional Arabic" w:hint="cs"/>
                <w:sz w:val="26"/>
                <w:rtl/>
              </w:rPr>
              <w:t>في،</w:t>
            </w:r>
            <w:r>
              <w:rPr>
                <w:rFonts w:ascii="Traditional Arabic" w:hAnsi="Traditional Arabic" w:hint="cs"/>
                <w:sz w:val="26"/>
                <w:rtl/>
              </w:rPr>
              <w:t xml:space="preserve"> </w:t>
            </w:r>
            <w:r>
              <w:rPr>
                <w:rFonts w:ascii="Traditional Arabic" w:hAnsi="Traditional Arabic"/>
                <w:sz w:val="26"/>
              </w:rPr>
              <w:t>WRC07</w:t>
            </w:r>
            <w:r>
              <w:rPr>
                <w:rFonts w:ascii="Traditional Arabic" w:hAnsi="Traditional Arabic" w:hint="cs"/>
                <w:sz w:val="26"/>
                <w:rtl/>
              </w:rPr>
              <w:t>)</w:t>
            </w:r>
            <w:r w:rsidRPr="001C74A5">
              <w:rPr>
                <w:rFonts w:ascii="Traditional Arabic" w:hAnsi="Traditional Arabic" w:hint="cs"/>
                <w:sz w:val="26"/>
                <w:rtl/>
              </w:rPr>
              <w:t>،</w:t>
            </w:r>
            <w:r w:rsidRPr="001C74A5">
              <w:rPr>
                <w:rFonts w:ascii="Traditional Arabic" w:hAnsi="Traditional Arabic"/>
                <w:sz w:val="26"/>
                <w:rtl/>
              </w:rPr>
              <w:t xml:space="preserve"> من أجل تسهيل الاستخدام الرشيد والفعال والاقتصادي للترددات الراديوية وأي مدارات مرتبطة بها، بما في ذلك مدار </w:t>
            </w:r>
            <w:proofErr w:type="spellStart"/>
            <w:r w:rsidRPr="001C74A5">
              <w:rPr>
                <w:rFonts w:ascii="Traditional Arabic" w:hAnsi="Traditional Arabic"/>
                <w:sz w:val="26"/>
                <w:rtl/>
              </w:rPr>
              <w:t>السواتل</w:t>
            </w:r>
            <w:proofErr w:type="spellEnd"/>
            <w:r w:rsidRPr="001C74A5">
              <w:rPr>
                <w:rFonts w:ascii="Traditional Arabic" w:hAnsi="Traditional Arabic"/>
                <w:sz w:val="26"/>
                <w:rtl/>
              </w:rPr>
              <w:t xml:space="preserve"> المستقرة بالنسبة إلى </w:t>
            </w:r>
            <w:r w:rsidRPr="001C74A5">
              <w:rPr>
                <w:rFonts w:ascii="Traditional Arabic" w:hAnsi="Traditional Arabic" w:hint="cs"/>
                <w:sz w:val="26"/>
                <w:rtl/>
              </w:rPr>
              <w:t xml:space="preserve">الأرض؛ 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99323AA" w14:textId="77777777" w:rsidR="005B72DB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lang w:bidi="ar-SA"/>
              </w:rPr>
            </w:pPr>
            <w:r>
              <w:rPr>
                <w:rFonts w:ascii="Traditional Arabic" w:hAnsi="Traditional Arabic"/>
                <w:sz w:val="24"/>
                <w:szCs w:val="24"/>
                <w:lang w:bidi="ar-SA"/>
              </w:rPr>
              <w:t>WP 4A</w:t>
            </w:r>
          </w:p>
        </w:tc>
      </w:tr>
    </w:tbl>
    <w:p w14:paraId="44D50BF0" w14:textId="77777777" w:rsidR="005B72DB" w:rsidRDefault="005B72DB" w:rsidP="00AD222C">
      <w:pPr>
        <w:spacing w:after="0" w:line="400" w:lineRule="exact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58EB2C8" w14:textId="3048C5EC" w:rsidR="00BB4A48" w:rsidRPr="00674EC1" w:rsidRDefault="00BB4A48" w:rsidP="00B23976">
      <w:pPr>
        <w:widowControl w:val="0"/>
        <w:numPr>
          <w:ilvl w:val="0"/>
          <w:numId w:val="10"/>
        </w:numPr>
        <w:suppressAutoHyphens/>
        <w:spacing w:after="0" w:line="400" w:lineRule="exact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  <w:r w:rsidRPr="00674EC1">
        <w:rPr>
          <w:rFonts w:ascii="Traditional Arabic" w:eastAsia="Times New Roman" w:hAnsi="Traditional Arabic" w:cs="Traditional Arabic" w:hint="eastAsia"/>
          <w:b/>
          <w:bCs/>
          <w:color w:val="000000"/>
          <w:sz w:val="28"/>
          <w:szCs w:val="28"/>
          <w:rtl/>
        </w:rPr>
        <w:t>الفصل</w:t>
      </w:r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 xml:space="preserve"> </w:t>
      </w:r>
      <w:r w:rsidR="00B23976" w:rsidRPr="00674EC1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BH"/>
        </w:rPr>
        <w:t>الثاني</w:t>
      </w:r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: المسائل المتعلقة ب</w:t>
      </w:r>
      <w:r w:rsidR="005B72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الخدم</w:t>
      </w:r>
      <w:r w:rsidR="000969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="008C1B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07474" w:rsidRPr="00307474">
        <w:rPr>
          <w:rFonts w:ascii="Traditional Arabic" w:hAnsi="Traditional Arabic" w:cs="Traditional Arabic"/>
          <w:b/>
          <w:bCs/>
          <w:sz w:val="28"/>
          <w:szCs w:val="28"/>
          <w:rtl/>
        </w:rPr>
        <w:t>بالخدمة الثابتة والخدمة المتنقلة وخدمة التحديد الراديوي للموقع</w:t>
      </w:r>
      <w:r w:rsidR="00B23976" w:rsidRPr="00674EC1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BH"/>
        </w:rPr>
        <w:t>،</w:t>
      </w:r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 xml:space="preserve"> ويندرج تحت هذا الفصل البنود الموضحة في الجدول رقم (2):</w:t>
      </w:r>
    </w:p>
    <w:p w14:paraId="3E6D674A" w14:textId="01447B27" w:rsidR="00F25CA5" w:rsidRDefault="00F25CA5" w:rsidP="00F25CA5">
      <w:pPr>
        <w:widowControl w:val="0"/>
        <w:suppressAutoHyphens/>
        <w:spacing w:after="0" w:line="400" w:lineRule="exact"/>
        <w:ind w:left="72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805E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الجدول (2)</w:t>
      </w:r>
    </w:p>
    <w:tbl>
      <w:tblPr>
        <w:bidiVisual/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6614"/>
        <w:gridCol w:w="1258"/>
      </w:tblGrid>
      <w:tr w:rsidR="005B72DB" w:rsidRPr="008B3BBF" w14:paraId="3AF782B3" w14:textId="77777777" w:rsidTr="00AC616D">
        <w:trPr>
          <w:jc w:val="center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519B8503" w14:textId="77777777" w:rsidR="005B72DB" w:rsidRPr="00347674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b/>
                <w:bCs/>
                <w:sz w:val="26"/>
                <w:rtl/>
                <w:lang w:bidi="ar-SA"/>
              </w:rPr>
            </w:pPr>
            <w:r w:rsidRPr="00347674">
              <w:rPr>
                <w:rFonts w:ascii="Traditional Arabic" w:hAnsi="Traditional Arabic" w:hint="cs"/>
                <w:b/>
                <w:bCs/>
                <w:sz w:val="26"/>
                <w:rtl/>
                <w:lang w:bidi="ar-SA"/>
              </w:rPr>
              <w:t>البند</w:t>
            </w:r>
          </w:p>
        </w:tc>
        <w:tc>
          <w:tcPr>
            <w:tcW w:w="3726" w:type="pct"/>
            <w:shd w:val="clear" w:color="auto" w:fill="D9D9D9" w:themeFill="background1" w:themeFillShade="D9"/>
            <w:vAlign w:val="center"/>
          </w:tcPr>
          <w:p w14:paraId="564AAA4A" w14:textId="77777777" w:rsidR="005B72DB" w:rsidRPr="00347674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Calibri" w:hAnsi="Calibri"/>
                <w:b/>
                <w:bCs/>
                <w:spacing w:val="-4"/>
                <w:position w:val="2"/>
                <w:rtl/>
                <w:lang w:bidi="ar-SA"/>
              </w:rPr>
            </w:pPr>
            <w:r>
              <w:rPr>
                <w:rFonts w:ascii="Calibri" w:hAnsi="Calibri" w:hint="cs"/>
                <w:b/>
                <w:bCs/>
                <w:spacing w:val="-4"/>
                <w:position w:val="2"/>
                <w:rtl/>
                <w:lang w:bidi="ar-SA"/>
              </w:rPr>
              <w:t>وصف البند</w:t>
            </w: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0973CFCC" w14:textId="77777777" w:rsidR="005B72DB" w:rsidRPr="00347674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4767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الفرق المسؤولة</w:t>
            </w:r>
          </w:p>
        </w:tc>
      </w:tr>
      <w:tr w:rsidR="005B72DB" w:rsidRPr="008B3BBF" w14:paraId="4273ADF9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445DF2B5" w14:textId="77777777" w:rsidR="005B72DB" w:rsidRPr="008B3BBF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1.7</w:t>
            </w:r>
          </w:p>
        </w:tc>
        <w:tc>
          <w:tcPr>
            <w:tcW w:w="3726" w:type="pct"/>
            <w:shd w:val="clear" w:color="auto" w:fill="auto"/>
          </w:tcPr>
          <w:p w14:paraId="6334CFE3" w14:textId="54CBBC1D" w:rsidR="005B72DB" w:rsidRPr="00212AF9" w:rsidRDefault="00212AF9" w:rsidP="00212AF9">
            <w:pPr>
              <w:pStyle w:val="Tabletexte"/>
              <w:spacing w:before="0" w:after="0" w:line="240" w:lineRule="auto"/>
              <w:rPr>
                <w:rFonts w:ascii="Calibri" w:hAnsi="Calibri"/>
                <w:spacing w:val="-4"/>
                <w:position w:val="2"/>
                <w:rtl/>
              </w:rPr>
            </w:pPr>
            <w:r w:rsidRPr="00212AF9">
              <w:rPr>
                <w:rFonts w:ascii="Calibri" w:hAnsi="Calibri"/>
                <w:spacing w:val="-4"/>
                <w:position w:val="2"/>
                <w:rtl/>
              </w:rPr>
              <w:t xml:space="preserve">إجراء دراسات التقاسم والتوافق وتحديد الشروط التقنية لاستخدام الاتصالات المتنقلة الدولية في نطاقي التردد </w:t>
            </w:r>
            <w:r w:rsidRPr="00212AF9">
              <w:rPr>
                <w:rFonts w:ascii="Calibri" w:hAnsi="Calibri"/>
                <w:spacing w:val="-4"/>
                <w:position w:val="2"/>
              </w:rPr>
              <w:t>4 800-4 400</w:t>
            </w:r>
            <w:r>
              <w:rPr>
                <w:rFonts w:ascii="Calibri" w:hAnsi="Calibri" w:hint="cs"/>
                <w:spacing w:val="-4"/>
                <w:position w:val="2"/>
                <w:rtl/>
              </w:rPr>
              <w:t xml:space="preserve"> ميجا هرتز،</w:t>
            </w:r>
            <w:r w:rsidRPr="00212AF9">
              <w:rPr>
                <w:rFonts w:ascii="Calibri" w:hAnsi="Calibri"/>
                <w:spacing w:val="-4"/>
                <w:position w:val="2"/>
                <w:rtl/>
              </w:rPr>
              <w:t xml:space="preserve"> </w:t>
            </w:r>
            <w:r w:rsidRPr="00212AF9">
              <w:rPr>
                <w:rFonts w:ascii="Calibri" w:hAnsi="Calibri"/>
                <w:spacing w:val="-4"/>
                <w:position w:val="2"/>
              </w:rPr>
              <w:t>8 400-7 125</w:t>
            </w:r>
            <w:r>
              <w:rPr>
                <w:rFonts w:ascii="Calibri" w:hAnsi="Calibri" w:hint="cs"/>
                <w:spacing w:val="-4"/>
                <w:position w:val="2"/>
                <w:rtl/>
              </w:rPr>
              <w:t xml:space="preserve"> ميجا هرتز</w:t>
            </w:r>
            <w:r w:rsidRPr="00212AF9">
              <w:rPr>
                <w:rFonts w:ascii="Calibri" w:hAnsi="Calibri"/>
                <w:spacing w:val="-4"/>
                <w:position w:val="2"/>
                <w:rtl/>
              </w:rPr>
              <w:t xml:space="preserve"> (أو في أجزاء منهما)، ونطاق التردد</w:t>
            </w:r>
            <w:r>
              <w:rPr>
                <w:rFonts w:ascii="Calibri" w:hAnsi="Calibri"/>
                <w:spacing w:val="-4"/>
                <w:position w:val="2"/>
                <w:rtl/>
              </w:rPr>
              <w:br/>
            </w:r>
            <w:r w:rsidRPr="00212AF9">
              <w:rPr>
                <w:rFonts w:ascii="Calibri" w:hAnsi="Calibri"/>
                <w:spacing w:val="-4"/>
                <w:position w:val="2"/>
                <w:rtl/>
              </w:rPr>
              <w:t xml:space="preserve"> </w:t>
            </w:r>
            <w:r w:rsidRPr="00212AF9">
              <w:rPr>
                <w:rFonts w:ascii="Calibri" w:hAnsi="Calibri"/>
                <w:spacing w:val="-4"/>
                <w:position w:val="2"/>
              </w:rPr>
              <w:t xml:space="preserve"> 15,35-14,8</w:t>
            </w:r>
            <w:r>
              <w:rPr>
                <w:rFonts w:ascii="Calibri" w:hAnsi="Calibri" w:hint="cs"/>
                <w:spacing w:val="-4"/>
                <w:position w:val="2"/>
                <w:rtl/>
                <w:lang w:bidi="ar-SA"/>
              </w:rPr>
              <w:t xml:space="preserve"> جيجا هرتز</w:t>
            </w:r>
            <w:r>
              <w:rPr>
                <w:rFonts w:ascii="Calibri" w:hAnsi="Calibri"/>
                <w:spacing w:val="-4"/>
                <w:position w:val="2"/>
                <w:lang w:bidi="ar-SA"/>
              </w:rPr>
              <w:t xml:space="preserve"> </w:t>
            </w:r>
            <w:r w:rsidRPr="00212AF9">
              <w:rPr>
                <w:rFonts w:ascii="Calibri" w:hAnsi="Calibri"/>
                <w:spacing w:val="-4"/>
                <w:position w:val="2"/>
                <w:rtl/>
              </w:rPr>
              <w:t>مع مراعاة الخدمات الأولية القائمة العاملة في نطاقات التردد هذه وفي النطاقات المجاورة، وفقاً للقرار 256 (</w:t>
            </w:r>
            <w:r w:rsidRPr="00212AF9">
              <w:rPr>
                <w:rFonts w:ascii="Calibri" w:hAnsi="Calibri"/>
                <w:spacing w:val="-4"/>
                <w:position w:val="2"/>
              </w:rPr>
              <w:t>WRC 23</w:t>
            </w:r>
            <w:r w:rsidRPr="00212AF9">
              <w:rPr>
                <w:rFonts w:ascii="Calibri" w:hAnsi="Calibri"/>
                <w:spacing w:val="-4"/>
                <w:position w:val="2"/>
                <w:rtl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C1811E6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sz w:val="24"/>
                <w:szCs w:val="24"/>
              </w:rPr>
              <w:t>WP 5D</w:t>
            </w:r>
          </w:p>
        </w:tc>
      </w:tr>
      <w:tr w:rsidR="005B72DB" w:rsidRPr="008B3BBF" w14:paraId="472DB99D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6AE60864" w14:textId="77777777" w:rsidR="005B72DB" w:rsidRPr="008B3BBF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1.8</w:t>
            </w:r>
          </w:p>
        </w:tc>
        <w:tc>
          <w:tcPr>
            <w:tcW w:w="3726" w:type="pct"/>
            <w:shd w:val="clear" w:color="auto" w:fill="auto"/>
          </w:tcPr>
          <w:p w14:paraId="15DCC37D" w14:textId="2F2BC3B2" w:rsidR="005B72DB" w:rsidRPr="00212AF9" w:rsidRDefault="00212AF9" w:rsidP="00212AF9">
            <w:pPr>
              <w:pStyle w:val="Tabletexte"/>
              <w:spacing w:before="0" w:after="0" w:line="240" w:lineRule="auto"/>
              <w:rPr>
                <w:rFonts w:ascii="Calibri" w:hAnsi="Calibri"/>
                <w:position w:val="2"/>
                <w:rtl/>
                <w:lang w:val="es-ES"/>
              </w:rPr>
            </w:pPr>
            <w:r w:rsidRPr="00212AF9">
              <w:rPr>
                <w:rFonts w:ascii="Calibri" w:hAnsi="Calibri"/>
                <w:position w:val="2"/>
                <w:rtl/>
                <w:lang w:val="es-ES"/>
              </w:rPr>
              <w:t xml:space="preserve">النظر في إمكانية منح توزيعات إضافية من الطيف لخدمة التحديد الراديوي للموقع على أساس أولي في مدى الترددات </w:t>
            </w:r>
            <w:r w:rsidRPr="00212AF9">
              <w:rPr>
                <w:rFonts w:ascii="Calibri" w:hAnsi="Calibri"/>
                <w:position w:val="2"/>
                <w:lang w:val="es-ES"/>
              </w:rPr>
              <w:t>275-231,5</w:t>
            </w:r>
            <w:r w:rsidRPr="00212AF9">
              <w:rPr>
                <w:rFonts w:ascii="Calibri" w:hAnsi="Calibri"/>
                <w:position w:val="2"/>
                <w:rtl/>
                <w:lang w:val="es-ES"/>
              </w:rPr>
              <w:t xml:space="preserve"> </w:t>
            </w:r>
            <w:r w:rsidRPr="006F68A4">
              <w:rPr>
                <w:rFonts w:ascii="Calibri" w:hAnsi="Calibri"/>
                <w:position w:val="2"/>
                <w:rtl/>
                <w:lang w:val="es-ES"/>
              </w:rPr>
              <w:t xml:space="preserve">جيجا هرتز </w:t>
            </w:r>
            <w:r w:rsidRPr="00212AF9">
              <w:rPr>
                <w:rFonts w:ascii="Calibri" w:hAnsi="Calibri"/>
                <w:position w:val="2"/>
                <w:rtl/>
                <w:lang w:val="es-ES"/>
              </w:rPr>
              <w:t xml:space="preserve">مع إمكانية تحديد جديد لتطبيقات التحديد الراديوي للموقع في نطاقات ترددات ضمن مدى الترددات </w:t>
            </w:r>
            <w:r w:rsidRPr="00212AF9">
              <w:rPr>
                <w:rFonts w:ascii="Calibri" w:hAnsi="Calibri"/>
                <w:position w:val="2"/>
                <w:lang w:val="es-ES"/>
              </w:rPr>
              <w:t>700-275</w:t>
            </w:r>
            <w:r w:rsidRPr="006F68A4">
              <w:rPr>
                <w:rFonts w:ascii="Calibri" w:hAnsi="Calibri"/>
                <w:position w:val="2"/>
                <w:rtl/>
                <w:lang w:val="es-ES"/>
              </w:rPr>
              <w:t xml:space="preserve"> جيجا هرتز</w:t>
            </w:r>
            <w:r w:rsidRPr="00212AF9">
              <w:rPr>
                <w:rFonts w:ascii="Calibri" w:hAnsi="Calibri"/>
                <w:position w:val="2"/>
                <w:rtl/>
                <w:lang w:val="es-ES"/>
              </w:rPr>
              <w:t xml:space="preserve"> من أجل أنظمة التصوير بالموجات </w:t>
            </w:r>
            <w:proofErr w:type="spellStart"/>
            <w:r w:rsidRPr="00212AF9">
              <w:rPr>
                <w:rFonts w:ascii="Calibri" w:hAnsi="Calibri"/>
                <w:position w:val="2"/>
                <w:rtl/>
                <w:lang w:val="es-ES"/>
              </w:rPr>
              <w:t>المليمترية</w:t>
            </w:r>
            <w:proofErr w:type="spellEnd"/>
            <w:r w:rsidRPr="00212AF9">
              <w:rPr>
                <w:rFonts w:ascii="Calibri" w:hAnsi="Calibri"/>
                <w:position w:val="2"/>
                <w:rtl/>
                <w:lang w:val="es-ES"/>
              </w:rPr>
              <w:t xml:space="preserve"> ودون </w:t>
            </w:r>
            <w:proofErr w:type="spellStart"/>
            <w:r w:rsidRPr="00212AF9">
              <w:rPr>
                <w:rFonts w:ascii="Calibri" w:hAnsi="Calibri"/>
                <w:position w:val="2"/>
                <w:rtl/>
                <w:lang w:val="es-ES"/>
              </w:rPr>
              <w:t>المليمترية</w:t>
            </w:r>
            <w:proofErr w:type="spellEnd"/>
            <w:r w:rsidRPr="00212AF9">
              <w:rPr>
                <w:rFonts w:ascii="Calibri" w:hAnsi="Calibri"/>
                <w:position w:val="2"/>
                <w:rtl/>
                <w:lang w:val="es-ES"/>
              </w:rPr>
              <w:t>، وفقاً للقرار 663 (</w:t>
            </w:r>
            <w:proofErr w:type="spellStart"/>
            <w:r w:rsidRPr="00212AF9">
              <w:rPr>
                <w:rFonts w:ascii="Calibri" w:hAnsi="Calibri"/>
                <w:position w:val="2"/>
                <w:lang w:val="es-ES"/>
              </w:rPr>
              <w:t>Rev.WRC</w:t>
            </w:r>
            <w:proofErr w:type="spellEnd"/>
            <w:r w:rsidRPr="00212AF9">
              <w:rPr>
                <w:rFonts w:ascii="Calibri" w:hAnsi="Calibri"/>
                <w:position w:val="2"/>
                <w:lang w:val="es-ES"/>
              </w:rPr>
              <w:t xml:space="preserve"> 23</w:t>
            </w:r>
            <w:r w:rsidRPr="00212AF9">
              <w:rPr>
                <w:rFonts w:ascii="Calibri" w:hAnsi="Calibri"/>
                <w:position w:val="2"/>
                <w:rtl/>
                <w:lang w:val="es-ES"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1446043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rtl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>WP 5</w:t>
            </w:r>
            <w:r>
              <w:rPr>
                <w:rFonts w:ascii="Traditional Arabic" w:hAnsi="Traditional Arabic"/>
                <w:sz w:val="24"/>
                <w:szCs w:val="24"/>
              </w:rPr>
              <w:t>B</w:t>
            </w:r>
          </w:p>
        </w:tc>
      </w:tr>
      <w:tr w:rsidR="005B72DB" w:rsidRPr="008B3BBF" w14:paraId="6CC95B39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40369C9E" w14:textId="77777777" w:rsidR="005B72DB" w:rsidRPr="008B3BBF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  <w:lang w:bidi="ar-SA"/>
              </w:rPr>
            </w:pPr>
            <w:r>
              <w:rPr>
                <w:rFonts w:ascii="Traditional Arabic" w:hAnsi="Traditional Arabic" w:hint="cs"/>
                <w:sz w:val="26"/>
                <w:rtl/>
                <w:lang w:bidi="ar-SA"/>
              </w:rPr>
              <w:t>1.9</w:t>
            </w:r>
          </w:p>
        </w:tc>
        <w:tc>
          <w:tcPr>
            <w:tcW w:w="3726" w:type="pct"/>
            <w:shd w:val="clear" w:color="auto" w:fill="auto"/>
          </w:tcPr>
          <w:p w14:paraId="0A233869" w14:textId="73A76CBF" w:rsidR="005B72DB" w:rsidRPr="008B3BBF" w:rsidRDefault="005B72DB" w:rsidP="00AC616D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</w:rPr>
            </w:pP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>النظر في الإجراءات التنظيمية المناسبة لتحديث التذييل 26</w:t>
            </w:r>
            <w:r>
              <w:rPr>
                <w:rFonts w:ascii="Calibri" w:hAnsi="Calibri" w:hint="cs"/>
                <w:position w:val="2"/>
                <w:rtl/>
                <w:lang w:val="es-ES" w:bidi="ar-EG"/>
              </w:rPr>
              <w:t xml:space="preserve"> من</w:t>
            </w: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 xml:space="preserve"> لوائح الراديو دعماً </w:t>
            </w:r>
            <w:r>
              <w:rPr>
                <w:rFonts w:ascii="Calibri" w:hAnsi="Calibri" w:hint="cs"/>
                <w:position w:val="2"/>
                <w:rtl/>
                <w:lang w:val="es-ES" w:bidi="ar-EG"/>
              </w:rPr>
              <w:t>لتطوير</w:t>
            </w: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 xml:space="preserve"> الترددات العالية لاتصالات</w:t>
            </w:r>
            <w:r>
              <w:rPr>
                <w:rFonts w:ascii="Calibri" w:hAnsi="Calibri" w:hint="cs"/>
                <w:position w:val="2"/>
                <w:rtl/>
                <w:lang w:val="es-ES" w:bidi="ar-EG"/>
              </w:rPr>
              <w:t xml:space="preserve"> </w:t>
            </w:r>
            <w:r w:rsidR="00EB7232" w:rsidRPr="008C1B98">
              <w:rPr>
                <w:rFonts w:ascii="Calibri" w:hAnsi="Calibri"/>
                <w:position w:val="2"/>
                <w:rtl/>
                <w:lang w:val="es-ES" w:bidi="ar-EG"/>
              </w:rPr>
              <w:t xml:space="preserve">المتنقلة </w:t>
            </w:r>
            <w:r w:rsidR="00EB7232">
              <w:rPr>
                <w:rFonts w:ascii="Calibri" w:hAnsi="Calibri" w:hint="cs"/>
                <w:position w:val="2"/>
                <w:rtl/>
                <w:lang w:val="es-ES" w:bidi="ar-EG"/>
              </w:rPr>
              <w:t>ل</w:t>
            </w:r>
            <w:r>
              <w:rPr>
                <w:rFonts w:ascii="Calibri" w:hAnsi="Calibri" w:hint="cs"/>
                <w:position w:val="2"/>
                <w:rtl/>
                <w:lang w:val="es-ES" w:bidi="ar-EG"/>
              </w:rPr>
              <w:t>لطيران</w:t>
            </w: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 xml:space="preserve"> (</w:t>
            </w:r>
            <w:r w:rsidRPr="008C1B98">
              <w:rPr>
                <w:rFonts w:ascii="Calibri" w:hAnsi="Calibri"/>
                <w:position w:val="2"/>
                <w:lang w:val="es-ES" w:bidi="ar-EG"/>
              </w:rPr>
              <w:t>OR</w:t>
            </w: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>)</w:t>
            </w:r>
            <w:r w:rsidR="00EB7232">
              <w:rPr>
                <w:rtl/>
              </w:rPr>
              <w:t xml:space="preserve"> </w:t>
            </w:r>
            <w:r w:rsidR="00EB7232" w:rsidRPr="00EB7232">
              <w:rPr>
                <w:rFonts w:ascii="Calibri" w:hAnsi="Calibri"/>
                <w:position w:val="2"/>
                <w:rtl/>
                <w:lang w:val="es-ES" w:bidi="ar-EG"/>
              </w:rPr>
              <w:t xml:space="preserve">على الموجات </w:t>
            </w:r>
            <w:proofErr w:type="spellStart"/>
            <w:r w:rsidR="00EB7232" w:rsidRPr="00EB7232">
              <w:rPr>
                <w:rFonts w:ascii="Calibri" w:hAnsi="Calibri"/>
                <w:position w:val="2"/>
                <w:rtl/>
                <w:lang w:val="es-ES" w:bidi="ar-EG"/>
              </w:rPr>
              <w:t>الديكامترية</w:t>
            </w:r>
            <w:proofErr w:type="spellEnd"/>
            <w:r w:rsidR="00EB7232" w:rsidRPr="00EB7232">
              <w:rPr>
                <w:rFonts w:ascii="Calibri" w:hAnsi="Calibri"/>
                <w:position w:val="2"/>
                <w:rtl/>
                <w:lang w:val="es-ES" w:bidi="ar-EG"/>
              </w:rPr>
              <w:t xml:space="preserve"> (</w:t>
            </w:r>
            <w:r w:rsidR="00EB7232" w:rsidRPr="00EB7232">
              <w:rPr>
                <w:rFonts w:ascii="Calibri" w:hAnsi="Calibri"/>
                <w:position w:val="2"/>
                <w:lang w:val="es-ES" w:bidi="ar-EG"/>
              </w:rPr>
              <w:t>HF</w:t>
            </w:r>
            <w:r w:rsidR="00EB7232" w:rsidRPr="00EB7232">
              <w:rPr>
                <w:rFonts w:ascii="Calibri" w:hAnsi="Calibri"/>
                <w:position w:val="2"/>
                <w:rtl/>
                <w:lang w:val="es-ES" w:bidi="ar-EG"/>
              </w:rPr>
              <w:t>)، وفقاً للقرار 411 (</w:t>
            </w:r>
            <w:r w:rsidR="00EB7232" w:rsidRPr="00EB7232">
              <w:rPr>
                <w:rFonts w:ascii="Calibri" w:hAnsi="Calibri"/>
                <w:position w:val="2"/>
                <w:lang w:val="es-ES" w:bidi="ar-EG"/>
              </w:rPr>
              <w:t>WRC 23</w:t>
            </w:r>
            <w:r w:rsidR="00EB7232" w:rsidRPr="00EB7232">
              <w:rPr>
                <w:rFonts w:ascii="Calibri" w:hAnsi="Calibri"/>
                <w:position w:val="2"/>
                <w:rtl/>
                <w:lang w:val="es-ES" w:bidi="ar-EG"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437D3EA" w14:textId="77777777" w:rsidR="005B72DB" w:rsidRPr="008C1B98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rtl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>WP 5</w:t>
            </w:r>
            <w:r>
              <w:rPr>
                <w:rFonts w:ascii="Traditional Arabic" w:hAnsi="Traditional Arabic"/>
                <w:sz w:val="24"/>
                <w:szCs w:val="24"/>
              </w:rPr>
              <w:t>B</w:t>
            </w:r>
          </w:p>
        </w:tc>
      </w:tr>
      <w:tr w:rsidR="005B72DB" w:rsidRPr="008B3BBF" w14:paraId="17D3B4DA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11362F2D" w14:textId="1C519E7C" w:rsidR="005B72DB" w:rsidRDefault="005B72DB" w:rsidP="005B72DB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  <w:lang w:bidi="ar-SA"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1.10</w:t>
            </w:r>
          </w:p>
        </w:tc>
        <w:tc>
          <w:tcPr>
            <w:tcW w:w="3726" w:type="pct"/>
            <w:shd w:val="clear" w:color="auto" w:fill="auto"/>
          </w:tcPr>
          <w:p w14:paraId="66BC7A55" w14:textId="21F58E5A" w:rsidR="005B72DB" w:rsidRPr="00EB7232" w:rsidRDefault="00EB7232" w:rsidP="00EB7232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</w:rPr>
            </w:pPr>
            <w:r w:rsidRPr="00EB7232">
              <w:rPr>
                <w:rFonts w:ascii="Traditional Arabic" w:hAnsi="Traditional Arabic"/>
                <w:sz w:val="26"/>
                <w:rtl/>
              </w:rPr>
              <w:t>النظر في وضع حدود لكثافة تدفق القدرة (</w:t>
            </w:r>
            <w:proofErr w:type="spellStart"/>
            <w:r w:rsidRPr="00EB7232">
              <w:rPr>
                <w:rFonts w:ascii="Traditional Arabic" w:hAnsi="Traditional Arabic"/>
                <w:sz w:val="26"/>
              </w:rPr>
              <w:t>pfd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) والقدرة المشعة المكافئة </w:t>
            </w:r>
            <w:proofErr w:type="spellStart"/>
            <w:r w:rsidRPr="00EB7232">
              <w:rPr>
                <w:rFonts w:ascii="Traditional Arabic" w:hAnsi="Traditional Arabic"/>
                <w:sz w:val="26"/>
                <w:rtl/>
              </w:rPr>
              <w:t>المتناحية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 (</w:t>
            </w:r>
            <w:proofErr w:type="spellStart"/>
            <w:r w:rsidRPr="00EB7232">
              <w:rPr>
                <w:rFonts w:ascii="Traditional Arabic" w:hAnsi="Traditional Arabic"/>
                <w:sz w:val="26"/>
              </w:rPr>
              <w:t>e.i.r.p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.) للخدمة الثابتة </w:t>
            </w:r>
            <w:proofErr w:type="spellStart"/>
            <w:r w:rsidRPr="00EB7232">
              <w:rPr>
                <w:rFonts w:ascii="Traditional Arabic" w:hAnsi="Traditional Arabic"/>
                <w:sz w:val="26"/>
                <w:rtl/>
              </w:rPr>
              <w:t>الساتلية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 والخدمة المتنقلة </w:t>
            </w:r>
            <w:proofErr w:type="spellStart"/>
            <w:r w:rsidRPr="00EB7232">
              <w:rPr>
                <w:rFonts w:ascii="Traditional Arabic" w:hAnsi="Traditional Arabic"/>
                <w:sz w:val="26"/>
                <w:rtl/>
              </w:rPr>
              <w:t>الساتلية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 والخدمة الإذاعية </w:t>
            </w:r>
            <w:proofErr w:type="spellStart"/>
            <w:r w:rsidRPr="00EB7232">
              <w:rPr>
                <w:rFonts w:ascii="Traditional Arabic" w:hAnsi="Traditional Arabic"/>
                <w:sz w:val="26"/>
                <w:rtl/>
              </w:rPr>
              <w:t>الساتلية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 لإدراجها في المادة 21 من لوائح الراديو من أجل حماية الخدمتين الثابتة والمتنقلة في نطاقي التردد </w:t>
            </w:r>
            <w:r w:rsidRPr="00EB7232">
              <w:rPr>
                <w:rFonts w:ascii="Traditional Arabic" w:hAnsi="Traditional Arabic"/>
                <w:szCs w:val="20"/>
                <w:rtl/>
              </w:rPr>
              <w:t>76-71</w:t>
            </w:r>
            <w:r w:rsidRPr="00205448">
              <w:rPr>
                <w:rFonts w:ascii="Traditional Arabic" w:hAnsi="Traditional Arabic"/>
                <w:sz w:val="26"/>
                <w:rtl/>
              </w:rPr>
              <w:t xml:space="preserve"> </w:t>
            </w:r>
            <w:proofErr w:type="spellStart"/>
            <w:r w:rsidRPr="00205448">
              <w:rPr>
                <w:rFonts w:ascii="Traditional Arabic" w:hAnsi="Traditional Arabic"/>
                <w:sz w:val="26"/>
                <w:rtl/>
              </w:rPr>
              <w:t>جيجاهرتز</w:t>
            </w:r>
            <w:proofErr w:type="spellEnd"/>
            <w:r w:rsidRPr="00205448">
              <w:rPr>
                <w:rFonts w:ascii="Traditional Arabic" w:hAnsi="Traditional Arabic"/>
                <w:sz w:val="26"/>
                <w:rtl/>
              </w:rPr>
              <w:t xml:space="preserve"> و</w:t>
            </w:r>
            <w:r w:rsidRPr="00EB7232">
              <w:rPr>
                <w:rFonts w:ascii="Traditional Arabic" w:hAnsi="Traditional Arabic"/>
                <w:szCs w:val="20"/>
                <w:rtl/>
              </w:rPr>
              <w:t xml:space="preserve">81-86 </w:t>
            </w:r>
            <w:proofErr w:type="spellStart"/>
            <w:r>
              <w:rPr>
                <w:rFonts w:ascii="Traditional Arabic" w:hAnsi="Traditional Arabic" w:hint="cs"/>
                <w:sz w:val="26"/>
                <w:rtl/>
              </w:rPr>
              <w:t>جيج</w:t>
            </w:r>
            <w:r w:rsidRPr="00205448">
              <w:rPr>
                <w:rFonts w:ascii="Traditional Arabic" w:hAnsi="Traditional Arabic"/>
                <w:sz w:val="26"/>
                <w:rtl/>
              </w:rPr>
              <w:t>اهرتز</w:t>
            </w:r>
            <w:proofErr w:type="spellEnd"/>
            <w:r w:rsidRPr="00205448">
              <w:rPr>
                <w:rFonts w:ascii="Traditional Arabic" w:hAnsi="Traditional Arabic"/>
                <w:sz w:val="26"/>
                <w:rtl/>
              </w:rPr>
              <w:t>،</w:t>
            </w:r>
            <w:r w:rsidRPr="00EB7232">
              <w:rPr>
                <w:rFonts w:ascii="Traditional Arabic" w:hAnsi="Traditional Arabic"/>
                <w:sz w:val="26"/>
                <w:rtl/>
              </w:rPr>
              <w:t xml:space="preserve"> وفقاً للقرار 775 (</w:t>
            </w:r>
            <w:r w:rsidRPr="00EB7232">
              <w:rPr>
                <w:rFonts w:ascii="Traditional Arabic" w:hAnsi="Traditional Arabic"/>
                <w:sz w:val="26"/>
              </w:rPr>
              <w:t>Rev.WRC-23</w:t>
            </w:r>
            <w:r w:rsidRPr="00EB7232">
              <w:rPr>
                <w:rFonts w:ascii="Traditional Arabic" w:hAnsi="Traditional Arabic"/>
                <w:sz w:val="26"/>
                <w:rtl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7ADF66D" w14:textId="7925A524" w:rsidR="005B72DB" w:rsidRPr="007E2A6C" w:rsidRDefault="005B72DB" w:rsidP="005B72DB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</w:rPr>
            </w:pPr>
            <w:r>
              <w:rPr>
                <w:rFonts w:ascii="Traditional Arabic" w:hAnsi="Traditional Arabic"/>
                <w:sz w:val="24"/>
                <w:szCs w:val="24"/>
                <w:lang w:bidi="ar-SA"/>
              </w:rPr>
              <w:t>WP 5C &amp; WP 4A</w:t>
            </w:r>
          </w:p>
        </w:tc>
      </w:tr>
    </w:tbl>
    <w:p w14:paraId="38DEACE4" w14:textId="3638DDF8" w:rsidR="005B72DB" w:rsidRDefault="005B72DB" w:rsidP="00F25CA5">
      <w:pPr>
        <w:widowControl w:val="0"/>
        <w:suppressAutoHyphens/>
        <w:spacing w:after="0" w:line="400" w:lineRule="exact"/>
        <w:ind w:left="72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EA83FF8" w14:textId="57AAF4DE" w:rsidR="00470A35" w:rsidRDefault="00470A35" w:rsidP="00F25CA5">
      <w:pPr>
        <w:widowControl w:val="0"/>
        <w:suppressAutoHyphens/>
        <w:spacing w:after="0" w:line="400" w:lineRule="exact"/>
        <w:ind w:left="72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480D871" w14:textId="6DFC4130" w:rsidR="00470A35" w:rsidRDefault="00470A35" w:rsidP="00F25CA5">
      <w:pPr>
        <w:widowControl w:val="0"/>
        <w:suppressAutoHyphens/>
        <w:spacing w:after="0" w:line="400" w:lineRule="exact"/>
        <w:ind w:left="72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63B24122" w14:textId="77777777" w:rsidR="007119C4" w:rsidRDefault="007119C4" w:rsidP="00BB4A48">
      <w:pPr>
        <w:widowControl w:val="0"/>
        <w:suppressAutoHyphens/>
        <w:spacing w:after="0" w:line="400" w:lineRule="exact"/>
        <w:jc w:val="both"/>
        <w:rPr>
          <w:rFonts w:ascii="Traditional Arabic" w:hAnsi="Traditional Arabic" w:cs="Traditional Arabic"/>
          <w:sz w:val="32"/>
          <w:szCs w:val="32"/>
          <w:lang w:bidi="ar-BH"/>
        </w:rPr>
      </w:pPr>
    </w:p>
    <w:p w14:paraId="4D04AA43" w14:textId="1AEEBCDA" w:rsidR="00740D71" w:rsidRPr="00674EC1" w:rsidRDefault="00740D71" w:rsidP="00740D71">
      <w:pPr>
        <w:widowControl w:val="0"/>
        <w:numPr>
          <w:ilvl w:val="0"/>
          <w:numId w:val="10"/>
        </w:numPr>
        <w:suppressAutoHyphens/>
        <w:spacing w:after="0" w:line="400" w:lineRule="exact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  <w:r w:rsidRPr="00674EC1">
        <w:rPr>
          <w:rFonts w:ascii="Traditional Arabic" w:eastAsia="Times New Roman" w:hAnsi="Traditional Arabic" w:cs="Traditional Arabic" w:hint="eastAsia"/>
          <w:b/>
          <w:bCs/>
          <w:color w:val="000000"/>
          <w:sz w:val="28"/>
          <w:szCs w:val="28"/>
          <w:rtl/>
        </w:rPr>
        <w:t>الفصل</w:t>
      </w:r>
      <w:r w:rsidRPr="00674EC1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</w:t>
      </w:r>
      <w:r w:rsidR="002F2467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ثالث</w:t>
      </w:r>
      <w:r w:rsidRPr="00674EC1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: المسائل المتعلقة </w:t>
      </w:r>
      <w:r w:rsidR="00307474" w:rsidRPr="00307474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بالخدمة المتنقلة </w:t>
      </w:r>
      <w:proofErr w:type="spellStart"/>
      <w:r w:rsidR="00307474" w:rsidRPr="00307474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الساتلية</w:t>
      </w:r>
      <w:proofErr w:type="spellEnd"/>
      <w:r w:rsidRPr="00674EC1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، </w:t>
      </w:r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ويندرج تحت هذا الفصل البنود الموضحة في الجدول رقم (</w:t>
      </w:r>
      <w:r w:rsidR="002F2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3</w:t>
      </w:r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):</w:t>
      </w:r>
    </w:p>
    <w:p w14:paraId="4704A415" w14:textId="22320F34" w:rsidR="00740D71" w:rsidRPr="00E741AD" w:rsidRDefault="00E741AD" w:rsidP="00E741AD">
      <w:pPr>
        <w:widowControl w:val="0"/>
        <w:suppressAutoHyphens/>
        <w:spacing w:after="0" w:line="400" w:lineRule="exact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الجدول (</w:t>
      </w:r>
      <w:r w:rsidR="002F2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3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)</w:t>
      </w:r>
    </w:p>
    <w:tbl>
      <w:tblPr>
        <w:bidiVisual/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6614"/>
        <w:gridCol w:w="1258"/>
      </w:tblGrid>
      <w:tr w:rsidR="00740D71" w:rsidRPr="008B3BBF" w14:paraId="6D24EDEB" w14:textId="77777777" w:rsidTr="00E741AD">
        <w:trPr>
          <w:jc w:val="center"/>
        </w:trPr>
        <w:tc>
          <w:tcPr>
            <w:tcW w:w="565" w:type="pct"/>
            <w:shd w:val="clear" w:color="auto" w:fill="D9D9D9" w:themeFill="background1" w:themeFillShade="D9"/>
          </w:tcPr>
          <w:p w14:paraId="18178802" w14:textId="77777777" w:rsidR="00740D71" w:rsidRPr="00347674" w:rsidRDefault="00740D71" w:rsidP="00872927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b/>
                <w:bCs/>
                <w:sz w:val="26"/>
                <w:rtl/>
                <w:lang w:bidi="ar-SA"/>
              </w:rPr>
            </w:pPr>
            <w:r w:rsidRPr="00347674">
              <w:rPr>
                <w:rFonts w:ascii="Traditional Arabic" w:hAnsi="Traditional Arabic" w:hint="cs"/>
                <w:b/>
                <w:bCs/>
                <w:sz w:val="26"/>
                <w:rtl/>
                <w:lang w:bidi="ar-SA"/>
              </w:rPr>
              <w:t>البند</w:t>
            </w:r>
          </w:p>
        </w:tc>
        <w:tc>
          <w:tcPr>
            <w:tcW w:w="3726" w:type="pct"/>
            <w:shd w:val="clear" w:color="auto" w:fill="D9D9D9" w:themeFill="background1" w:themeFillShade="D9"/>
          </w:tcPr>
          <w:p w14:paraId="59C9680D" w14:textId="77777777" w:rsidR="00740D71" w:rsidRPr="00347674" w:rsidRDefault="00740D71" w:rsidP="00872927">
            <w:pPr>
              <w:pStyle w:val="Tabletexte"/>
              <w:spacing w:before="0" w:after="0" w:line="240" w:lineRule="auto"/>
              <w:jc w:val="center"/>
              <w:rPr>
                <w:rFonts w:ascii="Calibri" w:hAnsi="Calibri"/>
                <w:b/>
                <w:bCs/>
                <w:spacing w:val="-4"/>
                <w:position w:val="2"/>
                <w:rtl/>
                <w:lang w:bidi="ar-SA"/>
              </w:rPr>
            </w:pPr>
            <w:r>
              <w:rPr>
                <w:rFonts w:ascii="Calibri" w:hAnsi="Calibri" w:hint="cs"/>
                <w:b/>
                <w:bCs/>
                <w:spacing w:val="-4"/>
                <w:position w:val="2"/>
                <w:rtl/>
                <w:lang w:bidi="ar-SA"/>
              </w:rPr>
              <w:t>وصف البند</w:t>
            </w:r>
          </w:p>
        </w:tc>
        <w:tc>
          <w:tcPr>
            <w:tcW w:w="709" w:type="pct"/>
            <w:shd w:val="clear" w:color="auto" w:fill="D9D9D9" w:themeFill="background1" w:themeFillShade="D9"/>
          </w:tcPr>
          <w:p w14:paraId="1EA9A4D3" w14:textId="77777777" w:rsidR="00740D71" w:rsidRPr="00347674" w:rsidRDefault="00740D71" w:rsidP="00872927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4767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الفرق المسؤولة</w:t>
            </w:r>
          </w:p>
        </w:tc>
      </w:tr>
      <w:tr w:rsidR="00205448" w:rsidRPr="008B3BBF" w14:paraId="4868A30B" w14:textId="77777777" w:rsidTr="00E741A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1BEABF08" w14:textId="3B2BC78B" w:rsidR="00205448" w:rsidRDefault="00205448" w:rsidP="00E741A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  <w:lang w:bidi="ar-SA"/>
              </w:rPr>
            </w:pPr>
            <w:r>
              <w:rPr>
                <w:rFonts w:ascii="Traditional Arabic" w:hAnsi="Traditional Arabic" w:hint="cs"/>
                <w:sz w:val="26"/>
                <w:rtl/>
                <w:lang w:bidi="ar-SA"/>
              </w:rPr>
              <w:t>1.11</w:t>
            </w:r>
          </w:p>
        </w:tc>
        <w:tc>
          <w:tcPr>
            <w:tcW w:w="3726" w:type="pct"/>
            <w:shd w:val="clear" w:color="auto" w:fill="auto"/>
          </w:tcPr>
          <w:p w14:paraId="17AF52D3" w14:textId="01CF1821" w:rsidR="00205448" w:rsidRPr="00205448" w:rsidRDefault="00205448" w:rsidP="00872927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</w:rPr>
            </w:pPr>
            <w:r w:rsidRPr="00205448">
              <w:rPr>
                <w:rFonts w:ascii="Traditional Arabic" w:hAnsi="Traditional Arabic"/>
                <w:sz w:val="26"/>
                <w:rtl/>
              </w:rPr>
              <w:t xml:space="preserve">النظر في المسائل التقنية والتشغيلية والأحكام التنظيمية المتعلقة بالوصلات فضاء-فضاء بين </w:t>
            </w:r>
            <w:proofErr w:type="spellStart"/>
            <w:r w:rsidRPr="00205448">
              <w:rPr>
                <w:rFonts w:ascii="Traditional Arabic" w:hAnsi="Traditional Arabic"/>
                <w:sz w:val="26"/>
                <w:rtl/>
              </w:rPr>
              <w:t>السواتل</w:t>
            </w:r>
            <w:proofErr w:type="spellEnd"/>
            <w:r w:rsidRPr="00205448">
              <w:rPr>
                <w:rFonts w:ascii="Traditional Arabic" w:hAnsi="Traditional Arabic"/>
                <w:sz w:val="26"/>
                <w:rtl/>
              </w:rPr>
              <w:t xml:space="preserve"> غير المستقرة بالنسبة إلى الأرض </w:t>
            </w:r>
            <w:proofErr w:type="spellStart"/>
            <w:r w:rsidRPr="00205448">
              <w:rPr>
                <w:rFonts w:ascii="Traditional Arabic" w:hAnsi="Traditional Arabic"/>
                <w:sz w:val="26"/>
                <w:rtl/>
              </w:rPr>
              <w:t>والسواتل</w:t>
            </w:r>
            <w:proofErr w:type="spellEnd"/>
            <w:r w:rsidRPr="00205448">
              <w:rPr>
                <w:rFonts w:ascii="Traditional Arabic" w:hAnsi="Traditional Arabic"/>
                <w:sz w:val="26"/>
                <w:rtl/>
              </w:rPr>
              <w:t xml:space="preserve"> المستقرة بالنسبة إلى الأرض في نطاقات التردد </w:t>
            </w:r>
            <w:r w:rsidR="0051208E">
              <w:rPr>
                <w:rFonts w:ascii="Traditional Arabic" w:hAnsi="Traditional Arabic" w:hint="cs"/>
                <w:sz w:val="26"/>
                <w:rtl/>
              </w:rPr>
              <w:t xml:space="preserve">1518-1544 </w:t>
            </w:r>
            <w:r w:rsidR="003D1162">
              <w:rPr>
                <w:rFonts w:ascii="Traditional Arabic" w:hAnsi="Traditional Arabic" w:hint="cs"/>
                <w:sz w:val="26"/>
                <w:rtl/>
              </w:rPr>
              <w:t>ميجاهرتز،</w:t>
            </w:r>
            <w:r w:rsidR="0051208E">
              <w:rPr>
                <w:rFonts w:ascii="Traditional Arabic" w:hAnsi="Traditional Arabic" w:hint="cs"/>
                <w:sz w:val="26"/>
                <w:rtl/>
              </w:rPr>
              <w:t xml:space="preserve"> 1545-1559 </w:t>
            </w:r>
            <w:r w:rsidR="003D1162">
              <w:rPr>
                <w:rFonts w:ascii="Traditional Arabic" w:hAnsi="Traditional Arabic" w:hint="cs"/>
                <w:sz w:val="26"/>
                <w:rtl/>
              </w:rPr>
              <w:t>ميجاهرتز،</w:t>
            </w:r>
            <w:r w:rsidR="002E37DB">
              <w:rPr>
                <w:rFonts w:ascii="Traditional Arabic" w:hAnsi="Traditional Arabic" w:hint="cs"/>
                <w:sz w:val="26"/>
                <w:rtl/>
              </w:rPr>
              <w:t xml:space="preserve"> 1610-1645.5 ميجاهرتز، 1646.5-1660 </w:t>
            </w:r>
            <w:r w:rsidR="003D1162">
              <w:rPr>
                <w:rFonts w:ascii="Traditional Arabic" w:hAnsi="Traditional Arabic" w:hint="cs"/>
                <w:sz w:val="26"/>
                <w:rtl/>
              </w:rPr>
              <w:t>ميجاهرتز،</w:t>
            </w:r>
            <w:r w:rsidR="002E37DB">
              <w:rPr>
                <w:rFonts w:ascii="Traditional Arabic" w:hAnsi="Traditional Arabic" w:hint="cs"/>
                <w:sz w:val="26"/>
                <w:rtl/>
              </w:rPr>
              <w:t xml:space="preserve"> 1670-1675 ميجاهرتز، 2483.5-2500 ميجاهرتز</w:t>
            </w:r>
            <w:r w:rsidRPr="00205448">
              <w:rPr>
                <w:rFonts w:ascii="Traditional Arabic" w:hAnsi="Traditional Arabic"/>
                <w:sz w:val="26"/>
                <w:rtl/>
              </w:rPr>
              <w:t xml:space="preserve"> </w:t>
            </w:r>
            <w:r w:rsidR="00EB7232" w:rsidRPr="00EB7232">
              <w:rPr>
                <w:rFonts w:ascii="Traditional Arabic" w:hAnsi="Traditional Arabic"/>
                <w:sz w:val="26"/>
                <w:rtl/>
              </w:rPr>
              <w:t xml:space="preserve">الموزَّعة للخدمة المتنقلة </w:t>
            </w:r>
            <w:proofErr w:type="spellStart"/>
            <w:r w:rsidR="00EB7232" w:rsidRPr="00EB7232">
              <w:rPr>
                <w:rFonts w:ascii="Traditional Arabic" w:hAnsi="Traditional Arabic"/>
                <w:sz w:val="26"/>
                <w:rtl/>
              </w:rPr>
              <w:t>الساتلية</w:t>
            </w:r>
            <w:proofErr w:type="spellEnd"/>
            <w:r w:rsidR="00EB7232" w:rsidRPr="00EB7232">
              <w:rPr>
                <w:rFonts w:ascii="Traditional Arabic" w:hAnsi="Traditional Arabic"/>
                <w:sz w:val="26"/>
                <w:rtl/>
              </w:rPr>
              <w:t xml:space="preserve">، </w:t>
            </w:r>
            <w:r w:rsidR="00EB7232" w:rsidRPr="00EB7232">
              <w:rPr>
                <w:rFonts w:ascii="Traditional Arabic" w:hAnsi="Traditional Arabic"/>
                <w:sz w:val="26"/>
                <w:cs/>
              </w:rPr>
              <w:t>‎</w:t>
            </w:r>
            <w:r w:rsidR="00EB7232" w:rsidRPr="00EB7232">
              <w:rPr>
                <w:rFonts w:ascii="Traditional Arabic" w:hAnsi="Traditional Arabic"/>
                <w:sz w:val="26"/>
                <w:rtl/>
              </w:rPr>
              <w:t>وفقاً للقرار 249 (</w:t>
            </w:r>
            <w:proofErr w:type="spellStart"/>
            <w:r w:rsidR="00EB7232" w:rsidRPr="00EB7232">
              <w:rPr>
                <w:rFonts w:ascii="Traditional Arabic" w:hAnsi="Traditional Arabic"/>
                <w:sz w:val="26"/>
              </w:rPr>
              <w:t>Rev.WRC</w:t>
            </w:r>
            <w:proofErr w:type="spellEnd"/>
            <w:r w:rsidR="00EB7232" w:rsidRPr="00EB7232">
              <w:rPr>
                <w:rFonts w:ascii="Traditional Arabic" w:hAnsi="Traditional Arabic"/>
                <w:sz w:val="26"/>
              </w:rPr>
              <w:t xml:space="preserve"> 23</w:t>
            </w:r>
            <w:r w:rsidR="00EB7232" w:rsidRPr="00EB7232">
              <w:rPr>
                <w:rFonts w:ascii="Traditional Arabic" w:hAnsi="Traditional Arabic"/>
                <w:sz w:val="26"/>
                <w:rtl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C0935FB" w14:textId="69B7B7DD" w:rsidR="00205448" w:rsidRDefault="002E37DB" w:rsidP="00E741A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lang w:bidi="ar-SA"/>
              </w:rPr>
            </w:pPr>
            <w:r>
              <w:rPr>
                <w:rFonts w:ascii="Traditional Arabic" w:hAnsi="Traditional Arabic"/>
                <w:sz w:val="24"/>
                <w:szCs w:val="24"/>
                <w:lang w:bidi="ar-SA"/>
              </w:rPr>
              <w:t>WP 4C</w:t>
            </w:r>
          </w:p>
        </w:tc>
      </w:tr>
      <w:tr w:rsidR="00205448" w:rsidRPr="008B3BBF" w14:paraId="01CCD4CD" w14:textId="77777777" w:rsidTr="00E741A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33B44626" w14:textId="601A3C8C" w:rsidR="00205448" w:rsidRDefault="00205448" w:rsidP="00E741A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1.12</w:t>
            </w:r>
          </w:p>
        </w:tc>
        <w:tc>
          <w:tcPr>
            <w:tcW w:w="3726" w:type="pct"/>
            <w:shd w:val="clear" w:color="auto" w:fill="auto"/>
          </w:tcPr>
          <w:p w14:paraId="25F3F6A6" w14:textId="0A686A91" w:rsidR="00205448" w:rsidRPr="00205448" w:rsidRDefault="002E37DB" w:rsidP="00872927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</w:rPr>
            </w:pPr>
            <w:r w:rsidRPr="002E37DB">
              <w:rPr>
                <w:rFonts w:ascii="Traditional Arabic" w:hAnsi="Traditional Arabic"/>
                <w:sz w:val="26"/>
                <w:rtl/>
              </w:rPr>
              <w:t>النظر، استناداً إلى نتائج الدراسات، في التوزيعات الممكنة للخدمة</w:t>
            </w:r>
            <w:r>
              <w:rPr>
                <w:rFonts w:ascii="Traditional Arabic" w:hAnsi="Traditional Arabic"/>
                <w:sz w:val="26"/>
              </w:rPr>
              <w:t xml:space="preserve"> </w:t>
            </w:r>
            <w:proofErr w:type="spellStart"/>
            <w:r w:rsidRPr="002E37DB">
              <w:rPr>
                <w:rFonts w:ascii="Traditional Arabic" w:hAnsi="Traditional Arabic"/>
                <w:sz w:val="26"/>
                <w:rtl/>
              </w:rPr>
              <w:t>الساتلية</w:t>
            </w:r>
            <w:proofErr w:type="spellEnd"/>
            <w:r w:rsidRPr="002E37DB">
              <w:rPr>
                <w:rFonts w:ascii="Traditional Arabic" w:hAnsi="Traditional Arabic"/>
                <w:sz w:val="26"/>
                <w:rtl/>
              </w:rPr>
              <w:t xml:space="preserve"> المتنقلة والإجراءات التنظيمية الممكنة في نطاقات التردد </w:t>
            </w:r>
            <w:r>
              <w:rPr>
                <w:rFonts w:ascii="Traditional Arabic" w:hAnsi="Traditional Arabic" w:hint="cs"/>
                <w:sz w:val="26"/>
                <w:rtl/>
                <w:lang w:bidi="ar-SA"/>
              </w:rPr>
              <w:t xml:space="preserve">1427-1432 ميجاهرتز </w:t>
            </w:r>
            <w:r w:rsidRPr="002E37DB">
              <w:rPr>
                <w:rFonts w:ascii="Traditional Arabic" w:hAnsi="Traditional Arabic"/>
                <w:sz w:val="26"/>
                <w:rtl/>
              </w:rPr>
              <w:t xml:space="preserve">(فضاء-أرض) </w:t>
            </w:r>
            <w:r w:rsidR="003D1162">
              <w:rPr>
                <w:rFonts w:ascii="Traditional Arabic" w:hAnsi="Traditional Arabic" w:hint="cs"/>
                <w:sz w:val="26"/>
                <w:rtl/>
              </w:rPr>
              <w:t>،</w:t>
            </w:r>
            <w:r>
              <w:rPr>
                <w:rFonts w:ascii="Traditional Arabic" w:hAnsi="Traditional Arabic" w:hint="cs"/>
                <w:sz w:val="26"/>
                <w:rtl/>
              </w:rPr>
              <w:t>1645.5-1646.5 م</w:t>
            </w:r>
            <w:r w:rsidRPr="002E37DB">
              <w:rPr>
                <w:rFonts w:ascii="Traditional Arabic" w:hAnsi="Traditional Arabic"/>
                <w:sz w:val="26"/>
                <w:rtl/>
              </w:rPr>
              <w:t xml:space="preserve"> (فضاء- الأرض) (أرض-فضاء)، </w:t>
            </w:r>
            <w:r w:rsidR="006E6139">
              <w:rPr>
                <w:rFonts w:ascii="Traditional Arabic" w:hAnsi="Traditional Arabic" w:hint="cs"/>
                <w:sz w:val="26"/>
                <w:rtl/>
              </w:rPr>
              <w:t>1880-1920 ميجاهرتز</w:t>
            </w:r>
            <w:r w:rsidRPr="002E37DB">
              <w:rPr>
                <w:rFonts w:ascii="Traditional Arabic" w:hAnsi="Traditional Arabic"/>
                <w:sz w:val="26"/>
                <w:rtl/>
              </w:rPr>
              <w:t xml:space="preserve"> (فضاء-أرض) (أرض-فضاء) </w:t>
            </w:r>
            <w:r w:rsidR="003D1162">
              <w:rPr>
                <w:rFonts w:ascii="Traditional Arabic" w:hAnsi="Traditional Arabic" w:hint="cs"/>
                <w:sz w:val="26"/>
                <w:rtl/>
              </w:rPr>
              <w:t>،</w:t>
            </w:r>
            <w:r w:rsidR="006E6139">
              <w:rPr>
                <w:rFonts w:ascii="Traditional Arabic" w:hAnsi="Traditional Arabic" w:hint="cs"/>
                <w:sz w:val="26"/>
                <w:rtl/>
              </w:rPr>
              <w:t xml:space="preserve">2010-2025 ميجاهرتز </w:t>
            </w:r>
            <w:r w:rsidRPr="002E37DB">
              <w:rPr>
                <w:rFonts w:ascii="Traditional Arabic" w:hAnsi="Traditional Arabic"/>
                <w:sz w:val="26"/>
                <w:rtl/>
              </w:rPr>
              <w:t xml:space="preserve">(فضاء-أرض) (أرض-فضاء) اللازمة للتطوير المستقبلي للأنظمة </w:t>
            </w:r>
            <w:proofErr w:type="spellStart"/>
            <w:r w:rsidRPr="002E37DB">
              <w:rPr>
                <w:rFonts w:ascii="Traditional Arabic" w:hAnsi="Traditional Arabic"/>
                <w:sz w:val="26"/>
                <w:rtl/>
              </w:rPr>
              <w:t>الساتلية</w:t>
            </w:r>
            <w:proofErr w:type="spellEnd"/>
            <w:r w:rsidRPr="002E37DB">
              <w:rPr>
                <w:rFonts w:ascii="Traditional Arabic" w:hAnsi="Traditional Arabic"/>
                <w:sz w:val="26"/>
                <w:rtl/>
              </w:rPr>
              <w:t xml:space="preserve"> المتنقلة غير المستقرة بالنسبة إلى الأرض ذات معدل </w:t>
            </w:r>
            <w:r w:rsidR="006E6139">
              <w:rPr>
                <w:rFonts w:ascii="Traditional Arabic" w:hAnsi="Traditional Arabic" w:hint="cs"/>
                <w:sz w:val="26"/>
                <w:rtl/>
              </w:rPr>
              <w:t>نقل بيانات منخفض</w:t>
            </w:r>
            <w:r w:rsidR="00EB7232">
              <w:rPr>
                <w:rFonts w:ascii="Traditional Arabic" w:hAnsi="Traditional Arabic" w:hint="cs"/>
                <w:sz w:val="26"/>
                <w:rtl/>
              </w:rPr>
              <w:t xml:space="preserve"> </w:t>
            </w:r>
            <w:r w:rsidR="00EB7232" w:rsidRPr="00EB7232">
              <w:rPr>
                <w:rFonts w:ascii="Traditional Arabic" w:hAnsi="Traditional Arabic"/>
                <w:sz w:val="26"/>
                <w:rtl/>
              </w:rPr>
              <w:t>وفقاً للقرار 252 (</w:t>
            </w:r>
            <w:r w:rsidR="00EB7232" w:rsidRPr="00EB7232">
              <w:rPr>
                <w:rFonts w:ascii="Traditional Arabic" w:hAnsi="Traditional Arabic"/>
                <w:sz w:val="26"/>
              </w:rPr>
              <w:t>WRC 23</w:t>
            </w:r>
            <w:r w:rsidR="00EB7232" w:rsidRPr="00EB7232">
              <w:rPr>
                <w:rFonts w:ascii="Traditional Arabic" w:hAnsi="Traditional Arabic"/>
                <w:sz w:val="26"/>
                <w:rtl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B4A05CA" w14:textId="2243C1DF" w:rsidR="00205448" w:rsidRDefault="006E6139" w:rsidP="00E741A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lang w:bidi="ar-SA"/>
              </w:rPr>
            </w:pPr>
            <w:r>
              <w:rPr>
                <w:rFonts w:ascii="Traditional Arabic" w:hAnsi="Traditional Arabic"/>
                <w:sz w:val="24"/>
                <w:szCs w:val="24"/>
                <w:lang w:bidi="ar-SA"/>
              </w:rPr>
              <w:t>WP 4C</w:t>
            </w:r>
          </w:p>
        </w:tc>
      </w:tr>
      <w:tr w:rsidR="005B72DB" w:rsidRPr="008B3BBF" w14:paraId="0D340052" w14:textId="77777777" w:rsidTr="00E741A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7F35CBD0" w14:textId="616217E2" w:rsidR="005B72DB" w:rsidRDefault="005B72DB" w:rsidP="005B72DB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1.13</w:t>
            </w:r>
          </w:p>
        </w:tc>
        <w:tc>
          <w:tcPr>
            <w:tcW w:w="3726" w:type="pct"/>
            <w:shd w:val="clear" w:color="auto" w:fill="auto"/>
          </w:tcPr>
          <w:p w14:paraId="4DD8DD47" w14:textId="3F2D96A6" w:rsidR="005B72DB" w:rsidRPr="002E37DB" w:rsidRDefault="005B72DB" w:rsidP="005B72DB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</w:rPr>
            </w:pP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 xml:space="preserve">النظر في الدراسات المتعلقة بتوزيعات جديدة محتملة للخدمة المتنقلة </w:t>
            </w:r>
            <w:proofErr w:type="spellStart"/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>الساتلية</w:t>
            </w:r>
            <w:proofErr w:type="spellEnd"/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 xml:space="preserve"> للتوصيل المباشر بين المحطات الفضائية </w:t>
            </w:r>
            <w:r>
              <w:rPr>
                <w:rFonts w:ascii="Calibri" w:hAnsi="Calibri" w:hint="cs"/>
                <w:position w:val="2"/>
                <w:rtl/>
                <w:lang w:val="es-ES" w:bidi="ar-EG"/>
              </w:rPr>
              <w:t>واجهزت</w:t>
            </w: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 xml:space="preserve"> أنظمة الاتصالات المتنقلة الدولية (</w:t>
            </w:r>
            <w:r w:rsidRPr="008C1B98">
              <w:rPr>
                <w:rFonts w:ascii="Calibri" w:hAnsi="Calibri"/>
                <w:position w:val="2"/>
                <w:lang w:val="es-ES" w:bidi="ar-EG"/>
              </w:rPr>
              <w:t>IMT</w:t>
            </w: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>) لاستكمال تغطية شبكة الاتصالات المتنقلة الدولية الأرضية</w:t>
            </w:r>
            <w:r w:rsidR="00EB7232">
              <w:rPr>
                <w:rFonts w:ascii="Calibri" w:hAnsi="Calibri" w:hint="cs"/>
                <w:position w:val="2"/>
                <w:rtl/>
                <w:lang w:val="es-ES" w:bidi="ar-EG"/>
              </w:rPr>
              <w:t xml:space="preserve">، </w:t>
            </w:r>
            <w:r w:rsidR="00EB7232" w:rsidRPr="00EB7232">
              <w:rPr>
                <w:rFonts w:ascii="Calibri" w:hAnsi="Calibri"/>
                <w:position w:val="2"/>
                <w:rtl/>
                <w:lang w:val="es-ES" w:bidi="ar-EG"/>
              </w:rPr>
              <w:t>وفقاً للقرار 253 (</w:t>
            </w:r>
            <w:r w:rsidR="00EB7232" w:rsidRPr="00EB7232">
              <w:rPr>
                <w:rFonts w:ascii="Calibri" w:hAnsi="Calibri"/>
                <w:position w:val="2"/>
                <w:lang w:val="es-ES" w:bidi="ar-EG"/>
              </w:rPr>
              <w:t>WRC-23</w:t>
            </w:r>
            <w:r w:rsidR="00EB7232" w:rsidRPr="00EB7232">
              <w:rPr>
                <w:rFonts w:ascii="Calibri" w:hAnsi="Calibri"/>
                <w:position w:val="2"/>
                <w:rtl/>
                <w:lang w:val="es-ES" w:bidi="ar-EG"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3ADCA3B" w14:textId="76802021" w:rsidR="005B72DB" w:rsidRDefault="005B72DB" w:rsidP="005B72DB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lang w:bidi="ar-SA"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4C &amp; WP 5D</w:t>
            </w:r>
          </w:p>
        </w:tc>
      </w:tr>
      <w:tr w:rsidR="005B72DB" w:rsidRPr="008B3BBF" w14:paraId="1DDA8583" w14:textId="77777777" w:rsidTr="00E741A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1269EB7B" w14:textId="4F95A3AB" w:rsidR="005B72DB" w:rsidRDefault="005B72DB" w:rsidP="005B72DB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1.14</w:t>
            </w:r>
          </w:p>
        </w:tc>
        <w:tc>
          <w:tcPr>
            <w:tcW w:w="3726" w:type="pct"/>
            <w:shd w:val="clear" w:color="auto" w:fill="auto"/>
          </w:tcPr>
          <w:p w14:paraId="047B8A74" w14:textId="60B24B42" w:rsidR="005B72DB" w:rsidRPr="00205448" w:rsidRDefault="005B72DB" w:rsidP="005B72DB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</w:rPr>
            </w:pPr>
            <w:r w:rsidRPr="006E6139">
              <w:rPr>
                <w:rFonts w:ascii="Traditional Arabic" w:hAnsi="Traditional Arabic"/>
                <w:sz w:val="26"/>
                <w:rtl/>
              </w:rPr>
              <w:t>للنظر في التوزيعات الإضافية المحتملة للخدمة</w:t>
            </w:r>
            <w:r>
              <w:rPr>
                <w:rFonts w:ascii="Traditional Arabic" w:hAnsi="Traditional Arabic" w:hint="cs"/>
                <w:sz w:val="26"/>
                <w:rtl/>
                <w:lang w:bidi="ar-SA"/>
              </w:rPr>
              <w:t xml:space="preserve"> </w:t>
            </w:r>
            <w:proofErr w:type="spellStart"/>
            <w:r w:rsidRPr="006E6139">
              <w:rPr>
                <w:rFonts w:ascii="Traditional Arabic" w:hAnsi="Traditional Arabic"/>
                <w:sz w:val="26"/>
                <w:rtl/>
              </w:rPr>
              <w:t>الساتلية</w:t>
            </w:r>
            <w:proofErr w:type="spellEnd"/>
            <w:r w:rsidRPr="006E6139">
              <w:rPr>
                <w:rFonts w:ascii="Traditional Arabic" w:hAnsi="Traditional Arabic"/>
                <w:sz w:val="26"/>
                <w:rtl/>
              </w:rPr>
              <w:t xml:space="preserve"> المتنقلة</w:t>
            </w:r>
            <w:r w:rsidR="00365322">
              <w:rPr>
                <w:rFonts w:ascii="Traditional Arabic" w:hAnsi="Traditional Arabic" w:hint="cs"/>
                <w:sz w:val="26"/>
                <w:rtl/>
              </w:rPr>
              <w:t xml:space="preserve">، </w:t>
            </w:r>
            <w:r w:rsidR="00365322" w:rsidRPr="00365322">
              <w:rPr>
                <w:rFonts w:ascii="Traditional Arabic" w:hAnsi="Traditional Arabic"/>
                <w:sz w:val="26"/>
                <w:rtl/>
              </w:rPr>
              <w:t>وفقاً للقرار 254 (</w:t>
            </w:r>
            <w:r w:rsidR="00365322" w:rsidRPr="00365322">
              <w:rPr>
                <w:rFonts w:ascii="Traditional Arabic" w:hAnsi="Traditional Arabic"/>
                <w:sz w:val="26"/>
              </w:rPr>
              <w:t>WRC 23</w:t>
            </w:r>
            <w:r w:rsidR="00365322" w:rsidRPr="00365322">
              <w:rPr>
                <w:rFonts w:ascii="Traditional Arabic" w:hAnsi="Traditional Arabic"/>
                <w:sz w:val="26"/>
                <w:rtl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27B4388" w14:textId="4F899A3D" w:rsidR="005B72DB" w:rsidRDefault="005B72DB" w:rsidP="005B72DB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</w:rPr>
            </w:pPr>
            <w:r>
              <w:rPr>
                <w:rFonts w:ascii="Traditional Arabic" w:hAnsi="Traditional Arabic"/>
                <w:sz w:val="24"/>
                <w:szCs w:val="24"/>
              </w:rPr>
              <w:t>WP 4C</w:t>
            </w:r>
          </w:p>
        </w:tc>
      </w:tr>
    </w:tbl>
    <w:p w14:paraId="03C2DAFF" w14:textId="6558294C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02353F73" w14:textId="4FCFD566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733A93DA" w14:textId="29471552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2709BFD6" w14:textId="3C112E70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7A2F5347" w14:textId="049ACDC6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41D4C586" w14:textId="1AAA800C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19FF0216" w14:textId="66FFC288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7CD6D29D" w14:textId="585AD0DD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2F0B83A1" w14:textId="67C58D0E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20C13C90" w14:textId="303D180F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32D0D6AF" w14:textId="10C8CC3F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02504A1B" w14:textId="5D37B0A5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3C8084AF" w14:textId="296EF6C8" w:rsid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1B53A3A9" w14:textId="72BA3E51" w:rsidR="00470A35" w:rsidRDefault="00470A35" w:rsidP="00C0419E">
      <w:pPr>
        <w:widowControl w:val="0"/>
        <w:suppressAutoHyphens/>
        <w:spacing w:after="0" w:line="400" w:lineRule="exact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6DF5A4E8" w14:textId="77777777" w:rsidR="00470A35" w:rsidRPr="00470A35" w:rsidRDefault="00470A35" w:rsidP="00470A35">
      <w:pPr>
        <w:widowControl w:val="0"/>
        <w:suppressAutoHyphens/>
        <w:spacing w:after="0" w:line="400" w:lineRule="exact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</w:p>
    <w:p w14:paraId="018897DD" w14:textId="1C2B3C60" w:rsidR="005B72DB" w:rsidRPr="00674EC1" w:rsidRDefault="005B72DB" w:rsidP="005B72DB">
      <w:pPr>
        <w:widowControl w:val="0"/>
        <w:numPr>
          <w:ilvl w:val="0"/>
          <w:numId w:val="10"/>
        </w:numPr>
        <w:suppressAutoHyphens/>
        <w:spacing w:after="0" w:line="400" w:lineRule="exact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  <w:r w:rsidRPr="00674EC1">
        <w:rPr>
          <w:rFonts w:ascii="Traditional Arabic" w:eastAsia="Times New Roman" w:hAnsi="Traditional Arabic" w:cs="Traditional Arabic" w:hint="eastAsia"/>
          <w:b/>
          <w:bCs/>
          <w:color w:val="000000"/>
          <w:sz w:val="28"/>
          <w:szCs w:val="28"/>
          <w:rtl/>
        </w:rPr>
        <w:t>الفصل</w:t>
      </w:r>
      <w:r w:rsidRPr="00674EC1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رابع</w:t>
      </w:r>
      <w:r w:rsidRPr="00674EC1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: المسائل المتعلقة </w:t>
      </w:r>
      <w:r w:rsidR="00307474" w:rsidRPr="00307474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بخدمات 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العلوم</w:t>
      </w:r>
      <w:r w:rsidRPr="00674EC1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، </w:t>
      </w:r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ويندرج تحت هذا الفصل البنود الموضحة في الجدول رقم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4</w:t>
      </w:r>
      <w:r w:rsidRPr="00674EC1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):</w:t>
      </w:r>
    </w:p>
    <w:p w14:paraId="04B3D1E9" w14:textId="6E63CCC8" w:rsidR="005B72DB" w:rsidRPr="005B72DB" w:rsidRDefault="005B72DB" w:rsidP="005B72DB">
      <w:pPr>
        <w:widowControl w:val="0"/>
        <w:suppressAutoHyphens/>
        <w:spacing w:after="0" w:line="400" w:lineRule="exact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</w:pPr>
      <w:r w:rsidRPr="005B72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الجدول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4</w:t>
      </w:r>
      <w:r w:rsidRPr="005B72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)</w:t>
      </w:r>
    </w:p>
    <w:tbl>
      <w:tblPr>
        <w:bidiVisual/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6614"/>
        <w:gridCol w:w="1258"/>
      </w:tblGrid>
      <w:tr w:rsidR="005B72DB" w:rsidRPr="008B3BBF" w14:paraId="202249E1" w14:textId="77777777" w:rsidTr="00AC616D">
        <w:trPr>
          <w:jc w:val="center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73A73BF0" w14:textId="77777777" w:rsidR="005B72DB" w:rsidRPr="00347674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b/>
                <w:bCs/>
                <w:sz w:val="26"/>
                <w:rtl/>
                <w:lang w:bidi="ar-SA"/>
              </w:rPr>
            </w:pPr>
            <w:r w:rsidRPr="00347674">
              <w:rPr>
                <w:rFonts w:ascii="Traditional Arabic" w:hAnsi="Traditional Arabic" w:hint="cs"/>
                <w:b/>
                <w:bCs/>
                <w:sz w:val="26"/>
                <w:rtl/>
                <w:lang w:bidi="ar-SA"/>
              </w:rPr>
              <w:t>البند</w:t>
            </w:r>
          </w:p>
        </w:tc>
        <w:tc>
          <w:tcPr>
            <w:tcW w:w="3726" w:type="pct"/>
            <w:shd w:val="clear" w:color="auto" w:fill="D9D9D9" w:themeFill="background1" w:themeFillShade="D9"/>
            <w:vAlign w:val="center"/>
          </w:tcPr>
          <w:p w14:paraId="71B361D1" w14:textId="77777777" w:rsidR="005B72DB" w:rsidRPr="00347674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Calibri" w:hAnsi="Calibri"/>
                <w:b/>
                <w:bCs/>
                <w:spacing w:val="-4"/>
                <w:position w:val="2"/>
                <w:rtl/>
                <w:lang w:bidi="ar-SA"/>
              </w:rPr>
            </w:pPr>
            <w:r>
              <w:rPr>
                <w:rFonts w:ascii="Calibri" w:hAnsi="Calibri" w:hint="cs"/>
                <w:b/>
                <w:bCs/>
                <w:spacing w:val="-4"/>
                <w:position w:val="2"/>
                <w:rtl/>
                <w:lang w:bidi="ar-SA"/>
              </w:rPr>
              <w:t>وصف البند</w:t>
            </w: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09BC840B" w14:textId="77777777" w:rsidR="005B72DB" w:rsidRPr="00347674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4767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الفرق المسؤولة</w:t>
            </w:r>
          </w:p>
        </w:tc>
      </w:tr>
      <w:tr w:rsidR="005B72DB" w:rsidRPr="008B3BBF" w14:paraId="2EF8DBC6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5E78F2D6" w14:textId="77777777" w:rsidR="005B72DB" w:rsidRPr="008B3BBF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1.15</w:t>
            </w:r>
          </w:p>
        </w:tc>
        <w:tc>
          <w:tcPr>
            <w:tcW w:w="3726" w:type="pct"/>
            <w:shd w:val="clear" w:color="auto" w:fill="auto"/>
          </w:tcPr>
          <w:p w14:paraId="6108DB20" w14:textId="65FF3582" w:rsidR="005B72DB" w:rsidRPr="008B3BBF" w:rsidRDefault="005B72DB" w:rsidP="00AC616D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</w:rPr>
            </w:pPr>
            <w:r w:rsidRPr="008C1B98">
              <w:rPr>
                <w:rFonts w:ascii="Calibri" w:hAnsi="Calibri"/>
                <w:position w:val="2"/>
                <w:rtl/>
                <w:lang w:val="es-ES"/>
              </w:rPr>
              <w:t>النظر في الدراسات المتعلقة بالترددات، بما في ذلك التوزيعات المحتملة لخدمات أبحاث الفضاء</w:t>
            </w:r>
            <w:r>
              <w:rPr>
                <w:rFonts w:ascii="Calibri" w:hAnsi="Calibri" w:hint="cs"/>
                <w:position w:val="2"/>
                <w:rtl/>
                <w:lang w:val="es-ES"/>
              </w:rPr>
              <w:t xml:space="preserve"> </w:t>
            </w:r>
            <w:r w:rsidRPr="008C1B98">
              <w:rPr>
                <w:rFonts w:ascii="Calibri" w:hAnsi="Calibri"/>
                <w:position w:val="2"/>
                <w:rtl/>
                <w:lang w:val="es-ES"/>
              </w:rPr>
              <w:t xml:space="preserve">(فضاء-فضاء) الجديدة أو </w:t>
            </w:r>
            <w:r w:rsidRPr="008C1B98">
              <w:rPr>
                <w:rFonts w:ascii="Calibri" w:hAnsi="Calibri" w:hint="cs"/>
                <w:position w:val="2"/>
                <w:rtl/>
                <w:lang w:val="es-ES"/>
              </w:rPr>
              <w:t>المعدلة،</w:t>
            </w:r>
            <w:r w:rsidRPr="008C1B98">
              <w:rPr>
                <w:rFonts w:ascii="Calibri" w:hAnsi="Calibri"/>
                <w:position w:val="2"/>
                <w:rtl/>
                <w:lang w:val="es-ES"/>
              </w:rPr>
              <w:t xml:space="preserve"> من أجل تطوير الاتصالات في المستقبل على سطح القمر وبين مدار القمر وسطح القمر</w:t>
            </w:r>
            <w:r w:rsidR="00C0419E">
              <w:rPr>
                <w:rFonts w:ascii="Calibri" w:hAnsi="Calibri" w:hint="cs"/>
                <w:position w:val="2"/>
                <w:rtl/>
                <w:lang w:val="es-ES"/>
              </w:rPr>
              <w:t>، و</w:t>
            </w:r>
            <w:r w:rsidR="00C0419E" w:rsidRPr="00C0419E">
              <w:rPr>
                <w:rFonts w:ascii="Calibri" w:hAnsi="Calibri"/>
                <w:position w:val="2"/>
                <w:rtl/>
                <w:lang w:val="es-ES"/>
              </w:rPr>
              <w:t>فقاً للقرار 680 (</w:t>
            </w:r>
            <w:r w:rsidR="00C0419E" w:rsidRPr="00C0419E">
              <w:rPr>
                <w:rFonts w:ascii="Calibri" w:hAnsi="Calibri"/>
                <w:position w:val="2"/>
                <w:lang w:val="es-ES"/>
              </w:rPr>
              <w:t>WRC-23</w:t>
            </w:r>
            <w:r w:rsidR="00C0419E" w:rsidRPr="00C0419E">
              <w:rPr>
                <w:rFonts w:ascii="Calibri" w:hAnsi="Calibri"/>
                <w:position w:val="2"/>
                <w:rtl/>
                <w:lang w:val="es-ES"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BCB3D3B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rtl/>
                <w:lang w:bidi="ar-SA"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7B</w:t>
            </w:r>
          </w:p>
        </w:tc>
      </w:tr>
      <w:tr w:rsidR="005B72DB" w:rsidRPr="008B3BBF" w14:paraId="19A17F3B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1C13FE84" w14:textId="77777777" w:rsidR="005B72DB" w:rsidRPr="008B3BBF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1.16</w:t>
            </w:r>
          </w:p>
        </w:tc>
        <w:tc>
          <w:tcPr>
            <w:tcW w:w="3726" w:type="pct"/>
            <w:shd w:val="clear" w:color="auto" w:fill="auto"/>
          </w:tcPr>
          <w:p w14:paraId="4617E1A6" w14:textId="487A4565" w:rsidR="005B72DB" w:rsidRPr="00C0419E" w:rsidRDefault="00C0419E" w:rsidP="00C0419E">
            <w:pPr>
              <w:pStyle w:val="Tabletexte"/>
              <w:spacing w:before="0" w:after="0" w:line="240" w:lineRule="auto"/>
              <w:rPr>
                <w:rFonts w:ascii="Calibri" w:hAnsi="Calibri"/>
                <w:position w:val="2"/>
                <w:rtl/>
                <w:lang w:bidi="ar-EG"/>
              </w:rPr>
            </w:pPr>
            <w:r w:rsidRPr="00C0419E">
              <w:rPr>
                <w:rFonts w:ascii="Calibri" w:hAnsi="Calibri"/>
                <w:position w:val="2"/>
                <w:rtl/>
                <w:lang w:bidi="ar-EG"/>
              </w:rPr>
              <w:t>‏النظر في الدراسات المتعلقة بالأحكام التقنية والتنظيمية اللازمة لحماية خدمة الفلك الراديوي (</w:t>
            </w:r>
            <w:r w:rsidRPr="00C0419E">
              <w:rPr>
                <w:rFonts w:ascii="Calibri" w:hAnsi="Calibri"/>
                <w:position w:val="2"/>
                <w:lang w:bidi="ar-EG"/>
              </w:rPr>
              <w:t>RAS</w:t>
            </w:r>
            <w:r w:rsidRPr="00C0419E">
              <w:rPr>
                <w:rFonts w:ascii="Calibri" w:hAnsi="Calibri"/>
                <w:position w:val="2"/>
                <w:rtl/>
                <w:lang w:bidi="ar-EG"/>
              </w:rPr>
              <w:t xml:space="preserve">) العاملة في مناطق </w:t>
            </w:r>
            <w:r w:rsidRPr="00A66FF6">
              <w:rPr>
                <w:rFonts w:ascii="Calibri" w:hAnsi="Calibri"/>
                <w:position w:val="2"/>
                <w:rtl/>
                <w:lang w:bidi="ar-EG"/>
              </w:rPr>
              <w:t xml:space="preserve">هادئة </w:t>
            </w:r>
            <w:r w:rsidRPr="00C0419E">
              <w:rPr>
                <w:rFonts w:ascii="Calibri" w:hAnsi="Calibri"/>
                <w:position w:val="2"/>
                <w:rtl/>
                <w:lang w:bidi="ar-EG"/>
              </w:rPr>
              <w:t xml:space="preserve">راديوي محددة، وفي نطاقات التردد الموزَّعة على أساس أولي لخدمة الفلك الراديوي على الصعيد العالمي، </w:t>
            </w:r>
            <w:r w:rsidRPr="00A66FF6">
              <w:rPr>
                <w:rFonts w:ascii="Calibri" w:hAnsi="Calibri"/>
                <w:position w:val="2"/>
                <w:rtl/>
                <w:lang w:bidi="ar-EG"/>
              </w:rPr>
              <w:t>من إجمالي تداخل الترددات الراديوية الناجم عن</w:t>
            </w:r>
            <w:r>
              <w:rPr>
                <w:rFonts w:ascii="Calibri" w:hAnsi="Calibri" w:hint="cs"/>
                <w:position w:val="2"/>
                <w:rtl/>
                <w:lang w:bidi="ar-EG"/>
              </w:rPr>
              <w:t xml:space="preserve"> أنظمة</w:t>
            </w:r>
            <w:r w:rsidRPr="00A66FF6">
              <w:rPr>
                <w:rFonts w:ascii="Calibri" w:hAnsi="Calibri"/>
                <w:position w:val="2"/>
                <w:rtl/>
                <w:lang w:bidi="ar-EG"/>
              </w:rPr>
              <w:t xml:space="preserve"> الأقمار الصناعية غير المستقرة بالنسبة إلى </w:t>
            </w:r>
            <w:proofErr w:type="gramStart"/>
            <w:r w:rsidRPr="00A66FF6">
              <w:rPr>
                <w:rFonts w:ascii="Calibri" w:hAnsi="Calibri"/>
                <w:position w:val="2"/>
                <w:rtl/>
                <w:lang w:bidi="ar-EG"/>
              </w:rPr>
              <w:t>الأرض</w:t>
            </w:r>
            <w:r w:rsidRPr="00C0419E">
              <w:rPr>
                <w:rFonts w:ascii="Calibri" w:hAnsi="Calibri"/>
                <w:position w:val="2"/>
                <w:rtl/>
                <w:lang w:bidi="ar-EG"/>
              </w:rPr>
              <w:t xml:space="preserve"> ،</w:t>
            </w:r>
            <w:r w:rsidRPr="00C0419E">
              <w:rPr>
                <w:rFonts w:ascii="Calibri" w:hAnsi="Calibri"/>
                <w:position w:val="2"/>
                <w:cs/>
                <w:lang w:bidi="ar-EG"/>
              </w:rPr>
              <w:t>‎</w:t>
            </w:r>
            <w:proofErr w:type="gramEnd"/>
            <w:r w:rsidRPr="00C0419E">
              <w:rPr>
                <w:rFonts w:ascii="Calibri" w:hAnsi="Calibri"/>
                <w:position w:val="2"/>
                <w:rtl/>
                <w:lang w:bidi="ar-EG"/>
              </w:rPr>
              <w:t xml:space="preserve"> وفقاً للقرار 681 (</w:t>
            </w:r>
            <w:r w:rsidRPr="00C0419E">
              <w:rPr>
                <w:rFonts w:ascii="Calibri" w:hAnsi="Calibri"/>
                <w:position w:val="2"/>
                <w:lang w:bidi="ar-EG"/>
              </w:rPr>
              <w:t>WRC 23</w:t>
            </w:r>
            <w:r w:rsidRPr="00C0419E">
              <w:rPr>
                <w:rFonts w:ascii="Calibri" w:hAnsi="Calibri"/>
                <w:position w:val="2"/>
                <w:rtl/>
                <w:lang w:bidi="ar-EG"/>
              </w:rPr>
              <w:t>)؛</w:t>
            </w:r>
            <w:r w:rsidR="005B72DB" w:rsidRPr="00A66FF6">
              <w:rPr>
                <w:rFonts w:ascii="Calibri" w:hAnsi="Calibri"/>
                <w:position w:val="2"/>
                <w:rtl/>
                <w:lang w:bidi="ar-EG"/>
              </w:rPr>
              <w:t>ا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D387306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rtl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7D</w:t>
            </w:r>
          </w:p>
        </w:tc>
      </w:tr>
      <w:tr w:rsidR="005B72DB" w:rsidRPr="008B3BBF" w14:paraId="344F0E68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639AA9F0" w14:textId="77777777" w:rsidR="005B72DB" w:rsidRPr="008B3BBF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  <w:lang w:bidi="ar-SA"/>
              </w:rPr>
            </w:pPr>
            <w:r>
              <w:rPr>
                <w:rFonts w:ascii="Traditional Arabic" w:hAnsi="Traditional Arabic" w:hint="cs"/>
                <w:sz w:val="26"/>
                <w:rtl/>
                <w:lang w:bidi="ar-SA"/>
              </w:rPr>
              <w:t>1.17</w:t>
            </w:r>
          </w:p>
        </w:tc>
        <w:tc>
          <w:tcPr>
            <w:tcW w:w="3726" w:type="pct"/>
            <w:shd w:val="clear" w:color="auto" w:fill="auto"/>
          </w:tcPr>
          <w:p w14:paraId="3F763C2C" w14:textId="736A7C3A" w:rsidR="00B23FA9" w:rsidRPr="00433CC9" w:rsidRDefault="00B23FA9" w:rsidP="00AC616D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lang w:bidi="ar-SA"/>
              </w:rPr>
            </w:pPr>
            <w:r>
              <w:rPr>
                <w:rFonts w:ascii="Traditional Arabic" w:hAnsi="Traditional Arabic" w:hint="cs"/>
                <w:sz w:val="26"/>
                <w:rtl/>
                <w:lang w:bidi="ar-SA"/>
              </w:rPr>
              <w:t>ا</w:t>
            </w:r>
            <w:r w:rsidRPr="00B23FA9">
              <w:rPr>
                <w:rFonts w:ascii="Traditional Arabic" w:hAnsi="Traditional Arabic"/>
                <w:sz w:val="26"/>
                <w:rtl/>
                <w:lang w:bidi="ar-SA"/>
              </w:rPr>
              <w:t xml:space="preserve">لنظر في الأحكام التنظيمية لأجهزة استشعار الأحوال الجوية الفضائية </w:t>
            </w:r>
            <w:r w:rsidRPr="00A66FF6">
              <w:rPr>
                <w:rFonts w:ascii="Calibri" w:hAnsi="Calibri"/>
                <w:b/>
                <w:position w:val="2"/>
                <w:rtl/>
                <w:lang w:val="es-ES" w:bidi="ar-EG"/>
              </w:rPr>
              <w:t xml:space="preserve">المخصصة للاستقبال </w:t>
            </w:r>
            <w:r w:rsidRPr="00B23FA9">
              <w:rPr>
                <w:rFonts w:ascii="Traditional Arabic" w:hAnsi="Traditional Arabic"/>
                <w:sz w:val="26"/>
                <w:rtl/>
                <w:lang w:bidi="ar-SA"/>
              </w:rPr>
              <w:t>فقط وحمايتها في لوائح الراديو، مع مراعاة نتائج دراسات قطاع الاتصالات الراديوية بالاتحاد،</w:t>
            </w:r>
            <w:r w:rsidRPr="00B23FA9">
              <w:rPr>
                <w:rFonts w:ascii="Traditional Arabic" w:hAnsi="Traditional Arabic"/>
                <w:sz w:val="26"/>
                <w:cs/>
                <w:lang w:bidi="ar-SA"/>
              </w:rPr>
              <w:t>‎</w:t>
            </w:r>
            <w:r w:rsidRPr="00B23FA9">
              <w:rPr>
                <w:rFonts w:ascii="Traditional Arabic" w:hAnsi="Traditional Arabic"/>
                <w:sz w:val="26"/>
                <w:rtl/>
                <w:lang w:bidi="ar-SA"/>
              </w:rPr>
              <w:t xml:space="preserve"> وفقاً للقرار 682 (</w:t>
            </w:r>
            <w:r w:rsidRPr="00B23FA9">
              <w:rPr>
                <w:rFonts w:ascii="Traditional Arabic" w:hAnsi="Traditional Arabic"/>
                <w:sz w:val="26"/>
                <w:lang w:bidi="ar-SA"/>
              </w:rPr>
              <w:t>WRC 23</w:t>
            </w:r>
            <w:r w:rsidRPr="00B23FA9">
              <w:rPr>
                <w:rFonts w:ascii="Traditional Arabic" w:hAnsi="Traditional Arabic"/>
                <w:sz w:val="26"/>
                <w:rtl/>
                <w:lang w:bidi="ar-SA"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5EF319C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rtl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7C</w:t>
            </w:r>
          </w:p>
        </w:tc>
      </w:tr>
      <w:tr w:rsidR="005B72DB" w:rsidRPr="008B3BBF" w14:paraId="7C8C8B97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57E8725D" w14:textId="77777777" w:rsidR="005B72DB" w:rsidRPr="008B3BBF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  <w:lang w:bidi="ar-SA"/>
              </w:rPr>
            </w:pPr>
            <w:r>
              <w:rPr>
                <w:rFonts w:ascii="Traditional Arabic" w:hAnsi="Traditional Arabic" w:hint="cs"/>
                <w:sz w:val="26"/>
                <w:rtl/>
                <w:lang w:bidi="ar-SA"/>
              </w:rPr>
              <w:t>1.18</w:t>
            </w:r>
          </w:p>
        </w:tc>
        <w:tc>
          <w:tcPr>
            <w:tcW w:w="3726" w:type="pct"/>
            <w:shd w:val="clear" w:color="auto" w:fill="auto"/>
          </w:tcPr>
          <w:p w14:paraId="0B7837AD" w14:textId="0CF18178" w:rsidR="005B72DB" w:rsidRPr="00433CC9" w:rsidRDefault="005B72DB" w:rsidP="00AC616D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lang w:bidi="ar-SA"/>
              </w:rPr>
            </w:pPr>
            <w:r w:rsidRPr="00A66FF6">
              <w:rPr>
                <w:rFonts w:ascii="Calibri" w:hAnsi="Calibri"/>
                <w:position w:val="2"/>
                <w:rtl/>
                <w:lang w:val="es-ES" w:bidi="ar-EG"/>
              </w:rPr>
              <w:t xml:space="preserve">النظر، استناداً إلى نتائج دراسات قطاع الاتصالات الراديوية بالاتحاد الدولي للاتصالات، في التدابير التنظيمية الممكنة فيما يتعلق بحماية خدمة استكشاف الأرض </w:t>
            </w:r>
            <w:proofErr w:type="spellStart"/>
            <w:r w:rsidRPr="00A66FF6">
              <w:rPr>
                <w:rFonts w:ascii="Calibri" w:hAnsi="Calibri"/>
                <w:position w:val="2"/>
                <w:rtl/>
                <w:lang w:val="es-ES" w:bidi="ar-EG"/>
              </w:rPr>
              <w:t>الساتلية</w:t>
            </w:r>
            <w:proofErr w:type="spellEnd"/>
            <w:r w:rsidRPr="00A66FF6">
              <w:rPr>
                <w:rFonts w:ascii="Calibri" w:hAnsi="Calibri"/>
                <w:position w:val="2"/>
                <w:rtl/>
                <w:lang w:val="es-ES" w:bidi="ar-EG"/>
              </w:rPr>
              <w:t xml:space="preserve"> وخدمة الفلك الراديوي في نطاقات تردد</w:t>
            </w:r>
            <w:r>
              <w:rPr>
                <w:rFonts w:ascii="Calibri" w:hAnsi="Calibri" w:hint="cs"/>
                <w:position w:val="2"/>
                <w:rtl/>
                <w:lang w:val="es-ES" w:bidi="ar-EG"/>
              </w:rPr>
              <w:t>ية</w:t>
            </w:r>
            <w:r w:rsidRPr="00A66FF6">
              <w:rPr>
                <w:rFonts w:ascii="Calibri" w:hAnsi="Calibri"/>
                <w:position w:val="2"/>
                <w:rtl/>
                <w:lang w:val="es-ES" w:bidi="ar-EG"/>
              </w:rPr>
              <w:t xml:space="preserve"> معينة فوق 76 جيجا هرتز من البث غير المرغوب</w:t>
            </w:r>
            <w:r w:rsidR="0017442D" w:rsidRPr="0017442D">
              <w:rPr>
                <w:rFonts w:ascii="Calibri" w:hAnsi="Calibri"/>
                <w:position w:val="2"/>
                <w:rtl/>
                <w:lang w:val="es-ES" w:bidi="ar-EG"/>
              </w:rPr>
              <w:t xml:space="preserve"> من الخدمات النشيطة، وفقاً للقرار 712 (</w:t>
            </w:r>
            <w:r w:rsidR="0017442D" w:rsidRPr="0017442D">
              <w:rPr>
                <w:rFonts w:ascii="Calibri" w:hAnsi="Calibri"/>
                <w:position w:val="2"/>
                <w:lang w:val="es-ES" w:bidi="ar-EG"/>
              </w:rPr>
              <w:t>WRC-23</w:t>
            </w:r>
            <w:r w:rsidR="0017442D" w:rsidRPr="0017442D">
              <w:rPr>
                <w:rFonts w:ascii="Calibri" w:hAnsi="Calibri"/>
                <w:position w:val="2"/>
                <w:rtl/>
                <w:lang w:val="es-ES" w:bidi="ar-EG"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DFC8BD1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rtl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7C &amp; WP 7D</w:t>
            </w:r>
          </w:p>
        </w:tc>
      </w:tr>
      <w:tr w:rsidR="005B72DB" w:rsidRPr="008B3BBF" w14:paraId="198F6EFF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36D428AD" w14:textId="77777777" w:rsidR="005B72DB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1.19</w:t>
            </w:r>
          </w:p>
        </w:tc>
        <w:tc>
          <w:tcPr>
            <w:tcW w:w="3726" w:type="pct"/>
            <w:shd w:val="clear" w:color="auto" w:fill="auto"/>
          </w:tcPr>
          <w:p w14:paraId="04294267" w14:textId="2A6DC77D" w:rsidR="005B72DB" w:rsidRPr="008B3BBF" w:rsidRDefault="005B72DB" w:rsidP="00AC616D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  <w:lang w:bidi="ar-SA"/>
              </w:rPr>
            </w:pPr>
            <w:r w:rsidRPr="002F2467">
              <w:rPr>
                <w:rFonts w:ascii="Calibri" w:hAnsi="Calibri"/>
                <w:color w:val="000000"/>
                <w:position w:val="2"/>
                <w:rtl/>
              </w:rPr>
              <w:t xml:space="preserve">النظر في التوزيعات الأولية الممكنة في جميع الأقاليم لخدمة استكشاف الأرض </w:t>
            </w:r>
            <w:proofErr w:type="spellStart"/>
            <w:r w:rsidR="0017442D" w:rsidRPr="0017442D">
              <w:rPr>
                <w:rFonts w:ascii="Calibri" w:hAnsi="Calibri"/>
                <w:color w:val="000000"/>
                <w:position w:val="2"/>
                <w:rtl/>
              </w:rPr>
              <w:t>الساتلية</w:t>
            </w:r>
            <w:proofErr w:type="spellEnd"/>
            <w:r w:rsidR="0017442D" w:rsidRPr="0017442D">
              <w:rPr>
                <w:rFonts w:ascii="Calibri" w:hAnsi="Calibri"/>
                <w:color w:val="000000"/>
                <w:position w:val="2"/>
                <w:rtl/>
              </w:rPr>
              <w:t xml:space="preserve"> (المنفعلة) في </w:t>
            </w:r>
            <w:r w:rsidRPr="002F2467">
              <w:rPr>
                <w:rFonts w:ascii="Calibri" w:hAnsi="Calibri"/>
                <w:color w:val="000000"/>
                <w:position w:val="2"/>
                <w:rtl/>
              </w:rPr>
              <w:t xml:space="preserve">نطاقي التردد </w:t>
            </w:r>
            <w:r>
              <w:rPr>
                <w:rFonts w:ascii="Calibri" w:hAnsi="Calibri" w:hint="cs"/>
                <w:color w:val="000000"/>
                <w:position w:val="2"/>
                <w:rtl/>
              </w:rPr>
              <w:t>4200-4400 ميجاهرتز و8400-8500 ميجاهرتز</w:t>
            </w:r>
            <w:r w:rsidR="0017442D">
              <w:rPr>
                <w:rFonts w:ascii="Calibri" w:hAnsi="Calibri" w:hint="cs"/>
                <w:color w:val="000000"/>
                <w:position w:val="2"/>
                <w:rtl/>
              </w:rPr>
              <w:t xml:space="preserve">، </w:t>
            </w:r>
            <w:r w:rsidR="0017442D" w:rsidRPr="0017442D">
              <w:rPr>
                <w:rFonts w:ascii="Calibri" w:hAnsi="Calibri"/>
                <w:color w:val="000000"/>
                <w:position w:val="2"/>
                <w:rtl/>
              </w:rPr>
              <w:t>وفقاً للقرار 674 (</w:t>
            </w:r>
            <w:r w:rsidR="0017442D" w:rsidRPr="0017442D">
              <w:rPr>
                <w:rFonts w:ascii="Calibri" w:hAnsi="Calibri"/>
                <w:color w:val="000000"/>
                <w:position w:val="2"/>
              </w:rPr>
              <w:t>WRC 23</w:t>
            </w:r>
            <w:r w:rsidR="0017442D" w:rsidRPr="0017442D">
              <w:rPr>
                <w:rFonts w:ascii="Calibri" w:hAnsi="Calibri"/>
                <w:color w:val="000000"/>
                <w:position w:val="2"/>
                <w:rtl/>
              </w:rPr>
              <w:t>)؛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DE51CD2" w14:textId="77777777" w:rsidR="005B72DB" w:rsidRPr="007E2A6C" w:rsidRDefault="005B72DB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</w:rPr>
            </w:pPr>
            <w:r w:rsidRPr="007E2A6C">
              <w:rPr>
                <w:rFonts w:ascii="Traditional Arabic" w:hAnsi="Traditional Arabic"/>
                <w:sz w:val="24"/>
                <w:szCs w:val="24"/>
              </w:rPr>
              <w:t xml:space="preserve">WP </w:t>
            </w:r>
            <w:r>
              <w:rPr>
                <w:rFonts w:ascii="Traditional Arabic" w:hAnsi="Traditional Arabic"/>
                <w:sz w:val="24"/>
                <w:szCs w:val="24"/>
              </w:rPr>
              <w:t>7C</w:t>
            </w:r>
          </w:p>
        </w:tc>
      </w:tr>
    </w:tbl>
    <w:p w14:paraId="512781B1" w14:textId="47EFA09B" w:rsidR="005B72DB" w:rsidRDefault="005B72DB" w:rsidP="00C706F2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4EF14198" w14:textId="464FB174" w:rsidR="00470A35" w:rsidRPr="00470A35" w:rsidRDefault="00470A35" w:rsidP="00470A35">
      <w:pPr>
        <w:pStyle w:val="ListParagraph"/>
        <w:numPr>
          <w:ilvl w:val="0"/>
          <w:numId w:val="10"/>
        </w:num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470A35">
        <w:rPr>
          <w:rFonts w:ascii="Traditional Arabic" w:eastAsia="Times New Roman" w:hAnsi="Traditional Arabic" w:cs="Traditional Arabic" w:hint="eastAsia"/>
          <w:b/>
          <w:bCs/>
          <w:color w:val="000000"/>
          <w:sz w:val="28"/>
          <w:szCs w:val="28"/>
          <w:rtl/>
        </w:rPr>
        <w:t>الفصل</w:t>
      </w:r>
      <w:r w:rsidRPr="00470A3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خامس</w:t>
      </w:r>
      <w:r w:rsidRPr="00470A3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: المسائل 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العامة</w:t>
      </w:r>
      <w:r w:rsidRPr="00470A3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ويندرج تحت هذا الفصل البنود الموضحة في الجدول رقم (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5</w:t>
      </w:r>
      <w:r w:rsidRPr="00470A3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):</w:t>
      </w:r>
    </w:p>
    <w:p w14:paraId="5F3668D1" w14:textId="0078CDC3" w:rsidR="00470A35" w:rsidRPr="00470A35" w:rsidRDefault="00470A35" w:rsidP="00470A35">
      <w:pPr>
        <w:widowControl w:val="0"/>
        <w:suppressAutoHyphens/>
        <w:spacing w:after="0" w:line="400" w:lineRule="exact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</w:pPr>
      <w:r w:rsidRPr="00470A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الجدول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5</w:t>
      </w:r>
      <w:r w:rsidRPr="00470A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)</w:t>
      </w:r>
    </w:p>
    <w:tbl>
      <w:tblPr>
        <w:bidiVisual/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6614"/>
        <w:gridCol w:w="1258"/>
      </w:tblGrid>
      <w:tr w:rsidR="00470A35" w:rsidRPr="008B3BBF" w14:paraId="045067AA" w14:textId="77777777" w:rsidTr="00AC616D">
        <w:trPr>
          <w:jc w:val="center"/>
        </w:trPr>
        <w:tc>
          <w:tcPr>
            <w:tcW w:w="565" w:type="pct"/>
            <w:shd w:val="clear" w:color="auto" w:fill="D9D9D9" w:themeFill="background1" w:themeFillShade="D9"/>
          </w:tcPr>
          <w:p w14:paraId="2C04FD68" w14:textId="77777777" w:rsidR="00470A35" w:rsidRPr="00347674" w:rsidRDefault="00470A35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b/>
                <w:bCs/>
                <w:sz w:val="26"/>
                <w:rtl/>
                <w:lang w:bidi="ar-SA"/>
              </w:rPr>
            </w:pPr>
            <w:r w:rsidRPr="00347674">
              <w:rPr>
                <w:rFonts w:ascii="Traditional Arabic" w:hAnsi="Traditional Arabic" w:hint="cs"/>
                <w:b/>
                <w:bCs/>
                <w:sz w:val="26"/>
                <w:rtl/>
                <w:lang w:bidi="ar-SA"/>
              </w:rPr>
              <w:t>البند</w:t>
            </w:r>
          </w:p>
        </w:tc>
        <w:tc>
          <w:tcPr>
            <w:tcW w:w="3726" w:type="pct"/>
            <w:shd w:val="clear" w:color="auto" w:fill="D9D9D9" w:themeFill="background1" w:themeFillShade="D9"/>
          </w:tcPr>
          <w:p w14:paraId="567A4D01" w14:textId="77777777" w:rsidR="00470A35" w:rsidRPr="00347674" w:rsidRDefault="00470A35" w:rsidP="00AC616D">
            <w:pPr>
              <w:pStyle w:val="Tabletexte"/>
              <w:spacing w:before="0" w:after="0" w:line="240" w:lineRule="auto"/>
              <w:jc w:val="center"/>
              <w:rPr>
                <w:rFonts w:ascii="Calibri" w:hAnsi="Calibri"/>
                <w:b/>
                <w:bCs/>
                <w:spacing w:val="-4"/>
                <w:position w:val="2"/>
                <w:rtl/>
                <w:lang w:bidi="ar-SA"/>
              </w:rPr>
            </w:pPr>
            <w:r>
              <w:rPr>
                <w:rFonts w:ascii="Calibri" w:hAnsi="Calibri" w:hint="cs"/>
                <w:b/>
                <w:bCs/>
                <w:spacing w:val="-4"/>
                <w:position w:val="2"/>
                <w:rtl/>
                <w:lang w:bidi="ar-SA"/>
              </w:rPr>
              <w:t>وصف البند</w:t>
            </w:r>
          </w:p>
        </w:tc>
        <w:tc>
          <w:tcPr>
            <w:tcW w:w="709" w:type="pct"/>
            <w:shd w:val="clear" w:color="auto" w:fill="D9D9D9" w:themeFill="background1" w:themeFillShade="D9"/>
          </w:tcPr>
          <w:p w14:paraId="2CE9117B" w14:textId="77777777" w:rsidR="00470A35" w:rsidRPr="00347674" w:rsidRDefault="00470A35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4767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الفرق المسؤولة</w:t>
            </w:r>
          </w:p>
        </w:tc>
      </w:tr>
      <w:tr w:rsidR="00470A35" w:rsidRPr="008B3BBF" w14:paraId="3ED187D5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1BA59F48" w14:textId="3411E027" w:rsidR="00470A35" w:rsidRDefault="00470A35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  <w:lang w:bidi="ar-SA"/>
              </w:rPr>
            </w:pPr>
            <w:r>
              <w:rPr>
                <w:rFonts w:ascii="Traditional Arabic" w:hAnsi="Traditional Arabic" w:hint="cs"/>
                <w:sz w:val="26"/>
                <w:rtl/>
                <w:lang w:bidi="ar-SA"/>
              </w:rPr>
              <w:t>2</w:t>
            </w:r>
          </w:p>
        </w:tc>
        <w:tc>
          <w:tcPr>
            <w:tcW w:w="3726" w:type="pct"/>
            <w:shd w:val="clear" w:color="auto" w:fill="auto"/>
          </w:tcPr>
          <w:p w14:paraId="3BDC3B50" w14:textId="19294F51" w:rsidR="00470A35" w:rsidRPr="00205448" w:rsidRDefault="00470A35" w:rsidP="00AC616D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</w:rPr>
            </w:pPr>
            <w:r w:rsidRPr="00470A35">
              <w:rPr>
                <w:rFonts w:ascii="Traditional Arabic" w:hAnsi="Traditional Arabic"/>
                <w:sz w:val="26"/>
                <w:rtl/>
              </w:rPr>
              <w:t xml:space="preserve">دراسة توصيات قطاع الاتصالات الراديوية المنقحة للاتحاد والمدرجة بالإحالة إليها في لوائح الراديو التي أرسلتها جمعية الاتصالات الراديوية، </w:t>
            </w:r>
            <w:r w:rsidR="0017442D" w:rsidRPr="0017442D">
              <w:rPr>
                <w:rFonts w:ascii="Traditional Arabic" w:hAnsi="Traditional Arabic"/>
                <w:sz w:val="26"/>
                <w:rtl/>
              </w:rPr>
              <w:t xml:space="preserve">وفقاً للفقرة "يقرر كذلك" من </w:t>
            </w:r>
            <w:r w:rsidRPr="00470A35">
              <w:rPr>
                <w:rFonts w:ascii="Traditional Arabic" w:hAnsi="Traditional Arabic"/>
                <w:sz w:val="26"/>
                <w:rtl/>
              </w:rPr>
              <w:t>القرار</w:t>
            </w:r>
            <w:r>
              <w:rPr>
                <w:rFonts w:ascii="Traditional Arabic" w:hAnsi="Traditional Arabic" w:hint="cs"/>
                <w:sz w:val="26"/>
                <w:rtl/>
              </w:rPr>
              <w:t xml:space="preserve"> رقم</w:t>
            </w:r>
            <w:r w:rsidRPr="00470A35">
              <w:rPr>
                <w:rFonts w:ascii="Traditional Arabic" w:hAnsi="Traditional Arabic"/>
                <w:sz w:val="26"/>
                <w:rtl/>
              </w:rPr>
              <w:t xml:space="preserve"> 27 (</w:t>
            </w:r>
            <w:r w:rsidRPr="00470A35">
              <w:rPr>
                <w:rFonts w:ascii="Traditional Arabic" w:hAnsi="Traditional Arabic"/>
                <w:sz w:val="26"/>
              </w:rPr>
              <w:t>Rev.WRC-19</w:t>
            </w:r>
            <w:r w:rsidRPr="00470A35">
              <w:rPr>
                <w:rFonts w:ascii="Traditional Arabic" w:hAnsi="Traditional Arabic"/>
                <w:sz w:val="26"/>
                <w:rtl/>
              </w:rPr>
              <w:t xml:space="preserve">)، </w:t>
            </w:r>
            <w:r w:rsidR="0017442D" w:rsidRPr="0017442D">
              <w:rPr>
                <w:rFonts w:ascii="Traditional Arabic" w:hAnsi="Traditional Arabic"/>
                <w:sz w:val="26"/>
                <w:rtl/>
              </w:rPr>
              <w:t>والبت في ضرورة تحديث الإحالات ذات الصلة في لوائح الراديو، وفقاً للمبادئ الواردة تحت "يقرر" من ذلك القرار؛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ADC41B6" w14:textId="6D90641A" w:rsidR="00470A35" w:rsidRDefault="00470A35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lang w:bidi="ar-SA"/>
              </w:rPr>
            </w:pPr>
            <w:r>
              <w:rPr>
                <w:rFonts w:ascii="Traditional Arabic" w:hAnsi="Traditional Arabic"/>
                <w:sz w:val="24"/>
                <w:szCs w:val="24"/>
                <w:lang w:bidi="ar-SA"/>
              </w:rPr>
              <w:t>CPM27-2</w:t>
            </w:r>
          </w:p>
        </w:tc>
      </w:tr>
      <w:tr w:rsidR="00470A35" w:rsidRPr="008B3BBF" w14:paraId="0241AD1A" w14:textId="77777777" w:rsidTr="00AC616D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0754D05F" w14:textId="67E9B3B8" w:rsidR="00470A35" w:rsidRDefault="00470A35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6"/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4</w:t>
            </w:r>
          </w:p>
        </w:tc>
        <w:tc>
          <w:tcPr>
            <w:tcW w:w="3726" w:type="pct"/>
            <w:shd w:val="clear" w:color="auto" w:fill="auto"/>
          </w:tcPr>
          <w:p w14:paraId="5BCA85C1" w14:textId="2990F428" w:rsidR="00470A35" w:rsidRPr="00205448" w:rsidRDefault="0017442D" w:rsidP="00AC616D">
            <w:pPr>
              <w:pStyle w:val="Tabletexte"/>
              <w:spacing w:before="0" w:after="0" w:line="240" w:lineRule="auto"/>
              <w:rPr>
                <w:rFonts w:ascii="Traditional Arabic" w:hAnsi="Traditional Arabic"/>
                <w:sz w:val="26"/>
                <w:rtl/>
              </w:rPr>
            </w:pPr>
            <w:r w:rsidRPr="0017442D">
              <w:rPr>
                <w:rFonts w:ascii="Traditional Arabic" w:hAnsi="Traditional Arabic"/>
                <w:sz w:val="26"/>
                <w:rtl/>
              </w:rPr>
              <w:t>استعراض القرارات والتوصيات الصادرة عن المؤتمرات السابقة، وفقاً للقرار 95 (</w:t>
            </w:r>
            <w:proofErr w:type="spellStart"/>
            <w:r w:rsidRPr="0017442D">
              <w:rPr>
                <w:rFonts w:ascii="Traditional Arabic" w:hAnsi="Traditional Arabic"/>
                <w:sz w:val="26"/>
              </w:rPr>
              <w:t>Rev.WRC</w:t>
            </w:r>
            <w:proofErr w:type="spellEnd"/>
            <w:r w:rsidRPr="0017442D">
              <w:rPr>
                <w:rFonts w:ascii="Traditional Arabic" w:hAnsi="Traditional Arabic"/>
                <w:sz w:val="26"/>
              </w:rPr>
              <w:t xml:space="preserve"> 19</w:t>
            </w:r>
            <w:r w:rsidRPr="0017442D">
              <w:rPr>
                <w:rFonts w:ascii="Traditional Arabic" w:hAnsi="Traditional Arabic"/>
                <w:sz w:val="26"/>
                <w:rtl/>
              </w:rPr>
              <w:t>)، للنظر في إمكانية مراجعتها أو استبدالها أو إلغائها؛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37A34A1" w14:textId="0935C990" w:rsidR="00470A35" w:rsidRDefault="00470A35" w:rsidP="00AC616D">
            <w:pPr>
              <w:pStyle w:val="Tabletexte"/>
              <w:spacing w:before="0" w:after="0" w:line="240" w:lineRule="auto"/>
              <w:jc w:val="center"/>
              <w:rPr>
                <w:rFonts w:ascii="Traditional Arabic" w:hAnsi="Traditional Arabic"/>
                <w:sz w:val="24"/>
                <w:szCs w:val="24"/>
                <w:lang w:bidi="ar-SA"/>
              </w:rPr>
            </w:pPr>
            <w:r>
              <w:rPr>
                <w:rFonts w:ascii="Traditional Arabic" w:hAnsi="Traditional Arabic"/>
                <w:sz w:val="24"/>
                <w:szCs w:val="24"/>
                <w:lang w:bidi="ar-SA"/>
              </w:rPr>
              <w:t>CPM27-2</w:t>
            </w:r>
          </w:p>
        </w:tc>
      </w:tr>
    </w:tbl>
    <w:p w14:paraId="6815EBD3" w14:textId="77777777" w:rsidR="00470A35" w:rsidRPr="005B72DB" w:rsidRDefault="00470A35" w:rsidP="00C706F2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73DCFDA8" w14:textId="77777777" w:rsidR="00470A35" w:rsidRDefault="00470A35">
      <w:pPr>
        <w:bidi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</w:p>
    <w:p w14:paraId="06C5F22E" w14:textId="6F8246A4" w:rsidR="00A55952" w:rsidRPr="00C706F2" w:rsidRDefault="00A55952" w:rsidP="00C706F2">
      <w:pPr>
        <w:spacing w:after="0" w:line="240" w:lineRule="auto"/>
        <w:rPr>
          <w:rFonts w:ascii="Traditional Arabic" w:eastAsia="Times New Roman" w:hAnsi="Traditional Arabic" w:cs="Traditional Arabic"/>
          <w:color w:val="000000"/>
          <w:sz w:val="24"/>
          <w:szCs w:val="24"/>
        </w:rPr>
      </w:pPr>
      <w:r w:rsidRPr="00C706F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ثالثاً: </w:t>
      </w:r>
      <w:r w:rsidR="00C277B4" w:rsidRPr="00C706F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المقترح </w:t>
      </w:r>
    </w:p>
    <w:p w14:paraId="72E87D9D" w14:textId="7B26D775" w:rsidR="00B14C80" w:rsidRDefault="00886F57" w:rsidP="00184F76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أن يتم </w:t>
      </w:r>
      <w:r w:rsidR="00C277B4" w:rsidRPr="00C706F2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توزيع بنود جدول أعمال المؤتمر العالمي للاتصالات الراديوية لعام 20</w:t>
      </w:r>
      <w:r w:rsidR="00D93A0D" w:rsidRPr="00C706F2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2</w:t>
      </w:r>
      <w:r w:rsidR="001C74A5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7</w:t>
      </w:r>
      <w:r w:rsidR="00C277B4" w:rsidRPr="00C706F2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م على مجموعات عمل بناءً </w:t>
      </w:r>
      <w:r w:rsidR="001A4D78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على توزيع الفصول المعتمد في المؤتمر التحضيري</w:t>
      </w:r>
      <w:r w:rsidR="00184F76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 الأول</w:t>
      </w:r>
      <w:r w:rsidR="001A4D78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 202</w:t>
      </w:r>
      <w:r w:rsidR="001C74A5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7</w:t>
      </w:r>
      <w:r w:rsidR="001A4D78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م</w:t>
      </w:r>
      <w:r w:rsidR="00B14C80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.</w:t>
      </w:r>
      <w:r w:rsidR="000E6AD2" w:rsidRPr="000E6AD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14:paraId="5C27E4FF" w14:textId="36E15F72" w:rsidR="00C277B4" w:rsidRPr="00C706F2" w:rsidRDefault="00C277B4" w:rsidP="00184F76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BH"/>
        </w:rPr>
      </w:pPr>
      <w:r w:rsidRPr="00C706F2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 </w:t>
      </w:r>
      <w:r w:rsidR="0046766D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="00B22F1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14C80">
        <w:rPr>
          <w:rFonts w:ascii="Traditional Arabic" w:hAnsi="Traditional Arabic" w:cs="Traditional Arabic" w:hint="cs"/>
          <w:sz w:val="28"/>
          <w:szCs w:val="28"/>
          <w:rtl/>
        </w:rPr>
        <w:t xml:space="preserve">تم ملاحظة </w:t>
      </w:r>
      <w:r w:rsidR="00A74E4E">
        <w:rPr>
          <w:rFonts w:ascii="Traditional Arabic" w:hAnsi="Traditional Arabic" w:cs="Traditional Arabic" w:hint="cs"/>
          <w:sz w:val="28"/>
          <w:szCs w:val="28"/>
          <w:rtl/>
        </w:rPr>
        <w:t xml:space="preserve">وجود </w:t>
      </w:r>
      <w:r w:rsidR="0046766D">
        <w:rPr>
          <w:rFonts w:ascii="Traditional Arabic" w:hAnsi="Traditional Arabic" w:cs="Traditional Arabic" w:hint="cs"/>
          <w:sz w:val="28"/>
          <w:szCs w:val="28"/>
          <w:rtl/>
        </w:rPr>
        <w:t>بعض البنود التي يتم متابعة أعمالها من أكثر من فريق عمل باستثنا</w:t>
      </w:r>
      <w:r w:rsidR="0046766D">
        <w:rPr>
          <w:rFonts w:ascii="Traditional Arabic" w:hAnsi="Traditional Arabic" w:cs="Traditional Arabic" w:hint="eastAsia"/>
          <w:sz w:val="28"/>
          <w:szCs w:val="28"/>
          <w:rtl/>
        </w:rPr>
        <w:t>ء</w:t>
      </w:r>
      <w:r w:rsidR="0046766D">
        <w:rPr>
          <w:rFonts w:ascii="Traditional Arabic" w:hAnsi="Traditional Arabic" w:cs="Traditional Arabic" w:hint="cs"/>
          <w:sz w:val="28"/>
          <w:szCs w:val="28"/>
          <w:rtl/>
        </w:rPr>
        <w:t xml:space="preserve"> المجموعة الرابعة والخامسة </w:t>
      </w:r>
      <w:r w:rsidR="00F44100">
        <w:rPr>
          <w:rFonts w:ascii="Traditional Arabic" w:hAnsi="Traditional Arabic" w:cs="Traditional Arabic" w:hint="cs"/>
          <w:sz w:val="28"/>
          <w:szCs w:val="28"/>
          <w:rtl/>
        </w:rPr>
        <w:t>ولأهمية</w:t>
      </w:r>
      <w:r w:rsidR="00B22F1A">
        <w:rPr>
          <w:rFonts w:ascii="Traditional Arabic" w:hAnsi="Traditional Arabic" w:cs="Traditional Arabic" w:hint="cs"/>
          <w:sz w:val="28"/>
          <w:szCs w:val="28"/>
          <w:rtl/>
        </w:rPr>
        <w:t xml:space="preserve"> البنود الموجود في هذه المجموع</w:t>
      </w:r>
      <w:r w:rsidR="00F76215">
        <w:rPr>
          <w:rFonts w:ascii="Traditional Arabic" w:hAnsi="Traditional Arabic" w:cs="Traditional Arabic" w:hint="cs"/>
          <w:sz w:val="28"/>
          <w:szCs w:val="28"/>
          <w:rtl/>
        </w:rPr>
        <w:t>ات</w:t>
      </w:r>
      <w:r w:rsidR="00B22F1A">
        <w:rPr>
          <w:rFonts w:ascii="Traditional Arabic" w:hAnsi="Traditional Arabic" w:cs="Traditional Arabic" w:hint="cs"/>
          <w:sz w:val="28"/>
          <w:szCs w:val="28"/>
          <w:rtl/>
        </w:rPr>
        <w:t xml:space="preserve"> والى صعوبة متابعة لجان الدراسة والتي تعقد في أوقات </w:t>
      </w:r>
      <w:r w:rsidR="0046766D">
        <w:rPr>
          <w:rFonts w:ascii="Traditional Arabic" w:hAnsi="Traditional Arabic" w:cs="Traditional Arabic" w:hint="cs"/>
          <w:sz w:val="28"/>
          <w:szCs w:val="28"/>
          <w:rtl/>
        </w:rPr>
        <w:t>مختلفة،</w:t>
      </w:r>
      <w:r w:rsidR="00B747E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E6AD2">
        <w:rPr>
          <w:rFonts w:ascii="Traditional Arabic" w:hAnsi="Traditional Arabic" w:cs="Traditional Arabic" w:hint="cs"/>
          <w:sz w:val="28"/>
          <w:szCs w:val="28"/>
          <w:rtl/>
        </w:rPr>
        <w:t xml:space="preserve">يقترح </w:t>
      </w:r>
      <w:r w:rsidR="0055700D">
        <w:rPr>
          <w:rFonts w:ascii="Traditional Arabic" w:hAnsi="Traditional Arabic" w:cs="Traditional Arabic" w:hint="cs"/>
          <w:sz w:val="28"/>
          <w:szCs w:val="28"/>
          <w:rtl/>
        </w:rPr>
        <w:t>تعيين فريق عمل مختص بمتابعة هذ</w:t>
      </w:r>
      <w:r w:rsidR="0046766D">
        <w:rPr>
          <w:rFonts w:ascii="Traditional Arabic" w:hAnsi="Traditional Arabic" w:cs="Traditional Arabic" w:hint="cs"/>
          <w:sz w:val="28"/>
          <w:szCs w:val="28"/>
          <w:rtl/>
        </w:rPr>
        <w:t>ه</w:t>
      </w:r>
      <w:r w:rsidR="0055700D">
        <w:rPr>
          <w:rFonts w:ascii="Traditional Arabic" w:hAnsi="Traditional Arabic" w:cs="Traditional Arabic" w:hint="cs"/>
          <w:sz w:val="28"/>
          <w:szCs w:val="28"/>
          <w:rtl/>
        </w:rPr>
        <w:t xml:space="preserve"> البن</w:t>
      </w:r>
      <w:r w:rsidR="0046766D">
        <w:rPr>
          <w:rFonts w:ascii="Traditional Arabic" w:hAnsi="Traditional Arabic" w:cs="Traditional Arabic" w:hint="cs"/>
          <w:sz w:val="28"/>
          <w:szCs w:val="28"/>
          <w:rtl/>
        </w:rPr>
        <w:t>ود</w:t>
      </w:r>
      <w:r w:rsidR="0055700D">
        <w:rPr>
          <w:rFonts w:ascii="Traditional Arabic" w:hAnsi="Traditional Arabic" w:cs="Traditional Arabic" w:hint="cs"/>
          <w:sz w:val="28"/>
          <w:szCs w:val="28"/>
          <w:rtl/>
        </w:rPr>
        <w:t xml:space="preserve"> واعداد الدراسات اللازمة</w:t>
      </w:r>
      <w:r w:rsidR="0046766D">
        <w:rPr>
          <w:rFonts w:ascii="Traditional Arabic" w:hAnsi="Traditional Arabic" w:cs="Traditional Arabic" w:hint="cs"/>
          <w:sz w:val="28"/>
          <w:szCs w:val="28"/>
          <w:rtl/>
        </w:rPr>
        <w:t xml:space="preserve"> والأخذ</w:t>
      </w:r>
      <w:r w:rsidR="0055700D">
        <w:rPr>
          <w:rFonts w:ascii="Traditional Arabic" w:hAnsi="Traditional Arabic" w:cs="Traditional Arabic" w:hint="cs"/>
          <w:sz w:val="28"/>
          <w:szCs w:val="28"/>
          <w:rtl/>
        </w:rPr>
        <w:t xml:space="preserve"> بالاعتبار أهمية هذ</w:t>
      </w:r>
      <w:r w:rsidR="0046766D">
        <w:rPr>
          <w:rFonts w:ascii="Traditional Arabic" w:hAnsi="Traditional Arabic" w:cs="Traditional Arabic" w:hint="cs"/>
          <w:sz w:val="28"/>
          <w:szCs w:val="28"/>
          <w:rtl/>
        </w:rPr>
        <w:t>ه</w:t>
      </w:r>
      <w:r w:rsidR="0055700D">
        <w:rPr>
          <w:rFonts w:ascii="Traditional Arabic" w:hAnsi="Traditional Arabic" w:cs="Traditional Arabic" w:hint="cs"/>
          <w:sz w:val="28"/>
          <w:szCs w:val="28"/>
          <w:rtl/>
        </w:rPr>
        <w:t xml:space="preserve"> البن</w:t>
      </w:r>
      <w:r w:rsidR="0046766D">
        <w:rPr>
          <w:rFonts w:ascii="Traditional Arabic" w:hAnsi="Traditional Arabic" w:cs="Traditional Arabic" w:hint="cs"/>
          <w:sz w:val="28"/>
          <w:szCs w:val="28"/>
          <w:rtl/>
        </w:rPr>
        <w:t>ود</w:t>
      </w:r>
      <w:r w:rsidR="0055700D">
        <w:rPr>
          <w:rFonts w:ascii="Traditional Arabic" w:hAnsi="Traditional Arabic" w:cs="Traditional Arabic" w:hint="cs"/>
          <w:sz w:val="28"/>
          <w:szCs w:val="28"/>
          <w:rtl/>
        </w:rPr>
        <w:t xml:space="preserve"> والنقاشات</w:t>
      </w:r>
      <w:r w:rsidR="00F76215">
        <w:rPr>
          <w:rFonts w:ascii="Traditional Arabic" w:hAnsi="Traditional Arabic" w:cs="Traditional Arabic" w:hint="cs"/>
          <w:sz w:val="28"/>
          <w:szCs w:val="28"/>
          <w:rtl/>
        </w:rPr>
        <w:t xml:space="preserve"> التي تتم</w:t>
      </w:r>
      <w:r w:rsidR="000E6AD2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.</w:t>
      </w:r>
    </w:p>
    <w:p w14:paraId="0188F94F" w14:textId="77777777" w:rsidR="00E336AA" w:rsidRPr="00C706F2" w:rsidRDefault="00E336AA" w:rsidP="00E336AA">
      <w:pPr>
        <w:spacing w:after="0" w:line="36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bidi="ar-BH"/>
        </w:rPr>
      </w:pPr>
      <w:r w:rsidRPr="00C706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>الجدول (6)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886"/>
        <w:gridCol w:w="228"/>
        <w:gridCol w:w="822"/>
        <w:gridCol w:w="869"/>
        <w:gridCol w:w="229"/>
        <w:gridCol w:w="769"/>
        <w:gridCol w:w="176"/>
        <w:gridCol w:w="667"/>
        <w:gridCol w:w="225"/>
        <w:gridCol w:w="736"/>
        <w:gridCol w:w="733"/>
        <w:gridCol w:w="230"/>
        <w:gridCol w:w="772"/>
        <w:gridCol w:w="945"/>
      </w:tblGrid>
      <w:tr w:rsidR="006C7379" w:rsidRPr="004D167E" w14:paraId="57F1CA12" w14:textId="77777777" w:rsidTr="00674EC1">
        <w:trPr>
          <w:jc w:val="center"/>
        </w:trPr>
        <w:tc>
          <w:tcPr>
            <w:tcW w:w="1661" w:type="dxa"/>
            <w:gridSpan w:val="2"/>
            <w:shd w:val="clear" w:color="auto" w:fill="E5B8B7" w:themeFill="accent2" w:themeFillTint="66"/>
            <w:vAlign w:val="center"/>
          </w:tcPr>
          <w:p w14:paraId="7ED10A09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  <w:r w:rsidRPr="00E44E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BH"/>
              </w:rPr>
              <w:t>مجموعة العمل الأولى</w:t>
            </w: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B0045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691" w:type="dxa"/>
            <w:gridSpan w:val="2"/>
            <w:shd w:val="clear" w:color="auto" w:fill="B8CCE4" w:themeFill="accent1" w:themeFillTint="66"/>
            <w:vAlign w:val="center"/>
          </w:tcPr>
          <w:p w14:paraId="6DC625F7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  <w:r w:rsidRPr="00E44E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BH"/>
              </w:rPr>
              <w:t>مجموعة العمل الثانية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AB58D5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612" w:type="dxa"/>
            <w:gridSpan w:val="3"/>
            <w:shd w:val="clear" w:color="auto" w:fill="D9D9D9" w:themeFill="background1" w:themeFillShade="D9"/>
            <w:vAlign w:val="center"/>
          </w:tcPr>
          <w:p w14:paraId="797BD6FD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  <w:r w:rsidRPr="00E44E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BH"/>
              </w:rPr>
              <w:t>مجموعة العمل الثالثة</w:t>
            </w:r>
          </w:p>
        </w:tc>
        <w:tc>
          <w:tcPr>
            <w:tcW w:w="2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3B288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69" w:type="dxa"/>
            <w:gridSpan w:val="2"/>
            <w:shd w:val="clear" w:color="auto" w:fill="D6E3BC" w:themeFill="accent3" w:themeFillTint="66"/>
            <w:vAlign w:val="center"/>
          </w:tcPr>
          <w:p w14:paraId="0614C062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  <w:r w:rsidRPr="00E44E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BH"/>
              </w:rPr>
              <w:t>مجموعة العمل الرابعة</w:t>
            </w:r>
          </w:p>
        </w:tc>
        <w:tc>
          <w:tcPr>
            <w:tcW w:w="23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525332F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17" w:type="dxa"/>
            <w:gridSpan w:val="2"/>
            <w:shd w:val="clear" w:color="auto" w:fill="FFC000"/>
            <w:vAlign w:val="center"/>
          </w:tcPr>
          <w:p w14:paraId="5F298C21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BH"/>
              </w:rPr>
              <w:t>مجموعة العمل الخامسة</w:t>
            </w:r>
            <w:r w:rsidR="007343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BH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BH"/>
              </w:rPr>
              <w:t>*</w:t>
            </w:r>
          </w:p>
        </w:tc>
      </w:tr>
      <w:tr w:rsidR="006C7379" w:rsidRPr="004D167E" w14:paraId="1D078385" w14:textId="77777777" w:rsidTr="00674EC1">
        <w:trPr>
          <w:jc w:val="center"/>
        </w:trPr>
        <w:tc>
          <w:tcPr>
            <w:tcW w:w="1661" w:type="dxa"/>
            <w:gridSpan w:val="2"/>
            <w:shd w:val="clear" w:color="auto" w:fill="E5B8B7" w:themeFill="accent2" w:themeFillTint="66"/>
            <w:vAlign w:val="center"/>
          </w:tcPr>
          <w:p w14:paraId="71E1E695" w14:textId="00206EA4" w:rsidR="006C7379" w:rsidRPr="00E44E05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674EC1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  <w:lang w:bidi="ar-BH"/>
              </w:rPr>
              <w:t>المسائل</w:t>
            </w:r>
            <w:r w:rsidRPr="00674EC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 xml:space="preserve"> </w:t>
            </w:r>
            <w:r w:rsidRPr="00674EC1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  <w:lang w:bidi="ar-BH"/>
              </w:rPr>
              <w:t>المتعلقة</w:t>
            </w:r>
            <w:r w:rsidRPr="00674EC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 xml:space="preserve"> </w:t>
            </w:r>
            <w:r w:rsidRPr="003074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 xml:space="preserve">بالخدمتين الثابتة </w:t>
            </w:r>
            <w:proofErr w:type="spellStart"/>
            <w:r w:rsidRPr="003074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الساتلية</w:t>
            </w:r>
            <w:proofErr w:type="spellEnd"/>
            <w:r w:rsidRPr="003074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 xml:space="preserve"> والإذاعية </w:t>
            </w:r>
            <w:proofErr w:type="spellStart"/>
            <w:r w:rsidRPr="003074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الساتلية</w:t>
            </w:r>
            <w:proofErr w:type="spellEnd"/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7DE5D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</w:p>
        </w:tc>
        <w:tc>
          <w:tcPr>
            <w:tcW w:w="1691" w:type="dxa"/>
            <w:gridSpan w:val="2"/>
            <w:shd w:val="clear" w:color="auto" w:fill="B8CCE4" w:themeFill="accent1" w:themeFillTint="66"/>
            <w:vAlign w:val="center"/>
          </w:tcPr>
          <w:p w14:paraId="7FFA4F8D" w14:textId="771948F2" w:rsidR="006C7379" w:rsidRPr="00E44E05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  <w:r w:rsidRPr="00674EC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المسائل المتعلقة 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BH"/>
              </w:rPr>
              <w:t>الخدم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ة </w:t>
            </w:r>
            <w:r w:rsidRPr="003074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بالخدمة الثابتة والخدمة المتنقلة وخدمة التحديد الراديوي للموقع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AD627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</w:p>
        </w:tc>
        <w:tc>
          <w:tcPr>
            <w:tcW w:w="1612" w:type="dxa"/>
            <w:gridSpan w:val="3"/>
            <w:shd w:val="clear" w:color="auto" w:fill="D9D9D9" w:themeFill="background1" w:themeFillShade="D9"/>
            <w:vAlign w:val="center"/>
          </w:tcPr>
          <w:p w14:paraId="40865F60" w14:textId="213F097D" w:rsidR="006C7379" w:rsidRPr="00E44E05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  <w:r w:rsidRPr="00674EC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المسائل المتعلقة </w:t>
            </w:r>
            <w:r w:rsidRPr="00307474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بالخدمة المتنقلة </w:t>
            </w:r>
            <w:proofErr w:type="spellStart"/>
            <w:r w:rsidRPr="00307474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الساتلية</w:t>
            </w:r>
            <w:proofErr w:type="spellEnd"/>
          </w:p>
        </w:tc>
        <w:tc>
          <w:tcPr>
            <w:tcW w:w="2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05AB1B" w14:textId="77777777" w:rsidR="006C7379" w:rsidRPr="00E44E05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</w:p>
        </w:tc>
        <w:tc>
          <w:tcPr>
            <w:tcW w:w="1469" w:type="dxa"/>
            <w:gridSpan w:val="2"/>
            <w:shd w:val="clear" w:color="auto" w:fill="D6E3BC" w:themeFill="accent3" w:themeFillTint="66"/>
            <w:vAlign w:val="center"/>
          </w:tcPr>
          <w:p w14:paraId="3A8224B8" w14:textId="6CCF3B8C" w:rsidR="006C7379" w:rsidRPr="00E44E05" w:rsidRDefault="005A2502" w:rsidP="00872927">
            <w:pPr>
              <w:tabs>
                <w:tab w:val="left" w:pos="524"/>
                <w:tab w:val="center" w:pos="638"/>
              </w:tabs>
              <w:bidi w:val="0"/>
              <w:spacing w:after="120" w:line="40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  <w:r w:rsidRPr="00674EC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المسائل المتعلقة </w:t>
            </w:r>
            <w:r w:rsidRPr="00307474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بخدمات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العلوم</w:t>
            </w:r>
          </w:p>
        </w:tc>
        <w:tc>
          <w:tcPr>
            <w:tcW w:w="23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DC76EB4" w14:textId="77777777" w:rsidR="006C7379" w:rsidRPr="001A4D78" w:rsidRDefault="006C7379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17" w:type="dxa"/>
            <w:gridSpan w:val="2"/>
            <w:shd w:val="clear" w:color="auto" w:fill="FFC000"/>
            <w:vAlign w:val="center"/>
          </w:tcPr>
          <w:p w14:paraId="56EEAA48" w14:textId="19E1C30B" w:rsidR="006C7379" w:rsidRPr="0050117A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 w:rsidRPr="00470A3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المسائل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العامة</w:t>
            </w:r>
          </w:p>
        </w:tc>
      </w:tr>
      <w:tr w:rsidR="00F02B83" w:rsidRPr="004D167E" w14:paraId="360A044F" w14:textId="77777777" w:rsidTr="00674EC1">
        <w:trPr>
          <w:jc w:val="center"/>
        </w:trPr>
        <w:tc>
          <w:tcPr>
            <w:tcW w:w="775" w:type="dxa"/>
            <w:shd w:val="clear" w:color="auto" w:fill="E5B8B7" w:themeFill="accent2" w:themeFillTint="66"/>
            <w:vAlign w:val="center"/>
          </w:tcPr>
          <w:p w14:paraId="444D465B" w14:textId="77777777" w:rsidR="00F02B83" w:rsidRPr="00E11FD2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الفصل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14:paraId="6390DE02" w14:textId="77777777" w:rsidR="00F02B83" w:rsidRPr="00E11FD2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البند</w:t>
            </w: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1E178" w14:textId="77777777" w:rsidR="00F02B83" w:rsidRPr="00E44E05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</w:p>
        </w:tc>
        <w:tc>
          <w:tcPr>
            <w:tcW w:w="822" w:type="dxa"/>
            <w:shd w:val="clear" w:color="auto" w:fill="B8CCE4" w:themeFill="accent1" w:themeFillTint="66"/>
            <w:vAlign w:val="center"/>
          </w:tcPr>
          <w:p w14:paraId="2853A444" w14:textId="77777777" w:rsidR="00F02B83" w:rsidRPr="00B23976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الفصل</w:t>
            </w:r>
          </w:p>
        </w:tc>
        <w:tc>
          <w:tcPr>
            <w:tcW w:w="869" w:type="dxa"/>
            <w:shd w:val="clear" w:color="auto" w:fill="B8CCE4" w:themeFill="accent1" w:themeFillTint="66"/>
            <w:vAlign w:val="center"/>
          </w:tcPr>
          <w:p w14:paraId="2BD19F38" w14:textId="77777777" w:rsidR="00F02B83" w:rsidRPr="00B23976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البند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5EB02" w14:textId="77777777" w:rsidR="00F02B83" w:rsidRPr="00E44E05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14:paraId="60A56006" w14:textId="77777777" w:rsidR="00F02B83" w:rsidRPr="00B758CD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الفصل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vAlign w:val="center"/>
          </w:tcPr>
          <w:p w14:paraId="4361BE24" w14:textId="77777777" w:rsidR="00F02B83" w:rsidRPr="00B758CD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البند</w:t>
            </w:r>
          </w:p>
        </w:tc>
        <w:tc>
          <w:tcPr>
            <w:tcW w:w="2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C83D81" w14:textId="77777777" w:rsidR="00F02B83" w:rsidRPr="00E44E05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77EC29D8" w14:textId="77777777" w:rsidR="00F02B83" w:rsidRPr="00E741AD" w:rsidRDefault="00F02B83" w:rsidP="00872927">
            <w:pPr>
              <w:tabs>
                <w:tab w:val="left" w:pos="524"/>
                <w:tab w:val="center" w:pos="638"/>
              </w:tabs>
              <w:bidi w:val="0"/>
              <w:spacing w:after="120" w:line="400" w:lineRule="exact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</w:rPr>
              <w:t>الفصل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14:paraId="3A0E3536" w14:textId="77777777" w:rsidR="00F02B83" w:rsidRPr="00E741AD" w:rsidRDefault="00F02B83" w:rsidP="00872927">
            <w:pPr>
              <w:tabs>
                <w:tab w:val="left" w:pos="524"/>
                <w:tab w:val="center" w:pos="638"/>
              </w:tabs>
              <w:bidi w:val="0"/>
              <w:spacing w:after="120" w:line="400" w:lineRule="exact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</w:rPr>
              <w:t>البند</w:t>
            </w:r>
          </w:p>
        </w:tc>
        <w:tc>
          <w:tcPr>
            <w:tcW w:w="23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E1C2844" w14:textId="77777777" w:rsidR="00F02B83" w:rsidRPr="001A4D78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772" w:type="dxa"/>
            <w:shd w:val="clear" w:color="auto" w:fill="FFC000"/>
            <w:vAlign w:val="center"/>
          </w:tcPr>
          <w:p w14:paraId="294195C4" w14:textId="77777777" w:rsidR="00F02B83" w:rsidRPr="0050117A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الفصل</w:t>
            </w:r>
          </w:p>
        </w:tc>
        <w:tc>
          <w:tcPr>
            <w:tcW w:w="945" w:type="dxa"/>
            <w:shd w:val="clear" w:color="auto" w:fill="FFC000"/>
            <w:vAlign w:val="center"/>
          </w:tcPr>
          <w:p w14:paraId="541B4A9B" w14:textId="77777777" w:rsidR="00F02B83" w:rsidRPr="0050117A" w:rsidRDefault="00F02B83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البند</w:t>
            </w:r>
          </w:p>
        </w:tc>
      </w:tr>
      <w:tr w:rsidR="005A2502" w:rsidRPr="004D167E" w14:paraId="26C98804" w14:textId="77777777" w:rsidTr="00674EC1">
        <w:trPr>
          <w:jc w:val="center"/>
        </w:trPr>
        <w:tc>
          <w:tcPr>
            <w:tcW w:w="775" w:type="dxa"/>
            <w:vMerge w:val="restart"/>
            <w:shd w:val="clear" w:color="auto" w:fill="E5B8B7" w:themeFill="accent2" w:themeFillTint="66"/>
            <w:vAlign w:val="center"/>
          </w:tcPr>
          <w:p w14:paraId="2CE09DDF" w14:textId="5435BA0D" w:rsidR="005A2502" w:rsidRPr="00AD7E0D" w:rsidRDefault="005A2502" w:rsidP="005A2502">
            <w:pPr>
              <w:bidi w:val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14:paraId="40152C5C" w14:textId="74BD7A4B" w:rsidR="005A2502" w:rsidRPr="00AD7E0D" w:rsidRDefault="005A2502" w:rsidP="005A2502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1.1</w:t>
            </w: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538FAE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22" w:type="dxa"/>
            <w:vMerge w:val="restart"/>
            <w:shd w:val="clear" w:color="auto" w:fill="B8CCE4" w:themeFill="accent1" w:themeFillTint="66"/>
            <w:vAlign w:val="center"/>
          </w:tcPr>
          <w:p w14:paraId="2BBBB9EA" w14:textId="022D090B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الثاني</w:t>
            </w:r>
          </w:p>
        </w:tc>
        <w:tc>
          <w:tcPr>
            <w:tcW w:w="869" w:type="dxa"/>
            <w:shd w:val="clear" w:color="auto" w:fill="B8CCE4" w:themeFill="accent1" w:themeFillTint="66"/>
            <w:vAlign w:val="center"/>
          </w:tcPr>
          <w:p w14:paraId="5BD80638" w14:textId="6CFE6F12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7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385BD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69" w:type="dxa"/>
            <w:vMerge w:val="restart"/>
            <w:shd w:val="clear" w:color="auto" w:fill="D9D9D9" w:themeFill="background1" w:themeFillShade="D9"/>
            <w:vAlign w:val="center"/>
          </w:tcPr>
          <w:p w14:paraId="2FDE4CA6" w14:textId="018F6740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الثالث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vAlign w:val="center"/>
          </w:tcPr>
          <w:p w14:paraId="7E2F3D7D" w14:textId="6A51566C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1.1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2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6E5A9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36" w:type="dxa"/>
            <w:vMerge w:val="restart"/>
            <w:shd w:val="clear" w:color="auto" w:fill="D6E3BC" w:themeFill="accent3" w:themeFillTint="66"/>
            <w:vAlign w:val="center"/>
          </w:tcPr>
          <w:p w14:paraId="21B56AF9" w14:textId="796C4D55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الرابع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14:paraId="47D59F8F" w14:textId="105AE73F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1.15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69570744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772" w:type="dxa"/>
            <w:vMerge w:val="restart"/>
            <w:shd w:val="clear" w:color="auto" w:fill="FFC000"/>
            <w:vAlign w:val="center"/>
          </w:tcPr>
          <w:p w14:paraId="4ABE9F22" w14:textId="1E92FDEC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الخامس</w:t>
            </w:r>
          </w:p>
        </w:tc>
        <w:tc>
          <w:tcPr>
            <w:tcW w:w="945" w:type="dxa"/>
            <w:shd w:val="clear" w:color="auto" w:fill="FFC000"/>
            <w:vAlign w:val="center"/>
          </w:tcPr>
          <w:p w14:paraId="0DEBB69E" w14:textId="50DC27E3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2</w:t>
            </w:r>
          </w:p>
        </w:tc>
      </w:tr>
      <w:tr w:rsidR="005A2502" w:rsidRPr="004D167E" w14:paraId="41002202" w14:textId="77777777" w:rsidTr="00674EC1">
        <w:trPr>
          <w:jc w:val="center"/>
        </w:trPr>
        <w:tc>
          <w:tcPr>
            <w:tcW w:w="775" w:type="dxa"/>
            <w:vMerge/>
            <w:shd w:val="clear" w:color="auto" w:fill="E5B8B7" w:themeFill="accent2" w:themeFillTint="66"/>
            <w:vAlign w:val="center"/>
          </w:tcPr>
          <w:p w14:paraId="39542909" w14:textId="2DF612A3" w:rsidR="005A2502" w:rsidRPr="00AD7E0D" w:rsidRDefault="005A2502" w:rsidP="005A2502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14:paraId="6CB70C0B" w14:textId="77777777" w:rsidR="005A2502" w:rsidRPr="00AD7E0D" w:rsidRDefault="005A2502" w:rsidP="005A2502">
            <w:pPr>
              <w:jc w:val="center"/>
              <w:rPr>
                <w:sz w:val="28"/>
                <w:szCs w:val="28"/>
                <w:rtl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1.2</w:t>
            </w: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55F0AA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22" w:type="dxa"/>
            <w:vMerge/>
            <w:shd w:val="clear" w:color="auto" w:fill="B8CCE4" w:themeFill="accent1" w:themeFillTint="66"/>
            <w:vAlign w:val="center"/>
          </w:tcPr>
          <w:p w14:paraId="0CFE8E8A" w14:textId="2B1FE8A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69" w:type="dxa"/>
            <w:shd w:val="clear" w:color="auto" w:fill="B8CCE4" w:themeFill="accent1" w:themeFillTint="66"/>
            <w:vAlign w:val="center"/>
          </w:tcPr>
          <w:p w14:paraId="1CAF0360" w14:textId="77F7FD45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1,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8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21390B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69" w:type="dxa"/>
            <w:vMerge/>
            <w:shd w:val="clear" w:color="auto" w:fill="D9D9D9" w:themeFill="background1" w:themeFillShade="D9"/>
            <w:vAlign w:val="center"/>
          </w:tcPr>
          <w:p w14:paraId="72961331" w14:textId="6B42ED1D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43" w:type="dxa"/>
            <w:gridSpan w:val="2"/>
            <w:shd w:val="clear" w:color="auto" w:fill="D9D9D9" w:themeFill="background1" w:themeFillShade="D9"/>
            <w:vAlign w:val="center"/>
          </w:tcPr>
          <w:p w14:paraId="026B217D" w14:textId="4D6D4CD8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1.1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2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0599A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36" w:type="dxa"/>
            <w:vMerge/>
            <w:shd w:val="clear" w:color="auto" w:fill="D6E3BC" w:themeFill="accent3" w:themeFillTint="66"/>
            <w:vAlign w:val="center"/>
          </w:tcPr>
          <w:p w14:paraId="39AA54B2" w14:textId="4E1792EC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14:paraId="568002C9" w14:textId="0A660E04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1.16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07F7B5DC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772" w:type="dxa"/>
            <w:vMerge/>
            <w:shd w:val="clear" w:color="auto" w:fill="FFC000"/>
            <w:vAlign w:val="center"/>
          </w:tcPr>
          <w:p w14:paraId="45086E6C" w14:textId="07DC0406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945" w:type="dxa"/>
            <w:shd w:val="clear" w:color="auto" w:fill="FFC000"/>
            <w:vAlign w:val="center"/>
          </w:tcPr>
          <w:p w14:paraId="6F80F33B" w14:textId="28F314D8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4</w:t>
            </w:r>
          </w:p>
        </w:tc>
      </w:tr>
      <w:tr w:rsidR="005A2502" w:rsidRPr="004D167E" w14:paraId="75DC625E" w14:textId="77777777" w:rsidTr="00A74E4E">
        <w:trPr>
          <w:gridAfter w:val="3"/>
          <w:wAfter w:w="1947" w:type="dxa"/>
          <w:jc w:val="center"/>
        </w:trPr>
        <w:tc>
          <w:tcPr>
            <w:tcW w:w="775" w:type="dxa"/>
            <w:vMerge/>
            <w:shd w:val="clear" w:color="auto" w:fill="E5B8B7" w:themeFill="accent2" w:themeFillTint="66"/>
            <w:vAlign w:val="center"/>
          </w:tcPr>
          <w:p w14:paraId="3D257F11" w14:textId="77777777" w:rsidR="005A2502" w:rsidRPr="00AD7E0D" w:rsidRDefault="005A2502" w:rsidP="005A250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14:paraId="62888EEF" w14:textId="77777777" w:rsidR="005A2502" w:rsidRPr="00AD7E0D" w:rsidRDefault="005A2502" w:rsidP="005A2502">
            <w:pPr>
              <w:jc w:val="center"/>
              <w:rPr>
                <w:sz w:val="28"/>
                <w:szCs w:val="28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1.3</w:t>
            </w: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E045E9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22" w:type="dxa"/>
            <w:vMerge/>
            <w:shd w:val="clear" w:color="auto" w:fill="B8CCE4" w:themeFill="accent1" w:themeFillTint="66"/>
            <w:vAlign w:val="center"/>
          </w:tcPr>
          <w:p w14:paraId="55E6C260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69" w:type="dxa"/>
            <w:shd w:val="clear" w:color="auto" w:fill="B8CCE4" w:themeFill="accent1" w:themeFillTint="66"/>
            <w:vAlign w:val="center"/>
          </w:tcPr>
          <w:p w14:paraId="10BBC8B3" w14:textId="7FBC4A75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9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0F3D1E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69" w:type="dxa"/>
            <w:vMerge/>
            <w:shd w:val="clear" w:color="auto" w:fill="D9D9D9" w:themeFill="background1" w:themeFillShade="D9"/>
            <w:vAlign w:val="center"/>
          </w:tcPr>
          <w:p w14:paraId="56A86351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43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4F6F5D7" w14:textId="7529CB9D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1.1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2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4203A8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36" w:type="dxa"/>
            <w:vMerge/>
            <w:shd w:val="clear" w:color="auto" w:fill="D6E3BC" w:themeFill="accent3" w:themeFillTint="66"/>
            <w:vAlign w:val="center"/>
          </w:tcPr>
          <w:p w14:paraId="3C9339F8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14:paraId="7723B52F" w14:textId="083476CA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1.17</w:t>
            </w:r>
          </w:p>
        </w:tc>
      </w:tr>
      <w:tr w:rsidR="005A2502" w:rsidRPr="004D167E" w14:paraId="1E68D8D5" w14:textId="77777777" w:rsidTr="005A2502">
        <w:trPr>
          <w:gridAfter w:val="2"/>
          <w:wAfter w:w="1717" w:type="dxa"/>
          <w:jc w:val="center"/>
        </w:trPr>
        <w:tc>
          <w:tcPr>
            <w:tcW w:w="775" w:type="dxa"/>
            <w:vMerge/>
            <w:shd w:val="clear" w:color="auto" w:fill="E5B8B7" w:themeFill="accent2" w:themeFillTint="66"/>
            <w:vAlign w:val="center"/>
          </w:tcPr>
          <w:p w14:paraId="22B69CF2" w14:textId="77777777" w:rsidR="005A2502" w:rsidRPr="00AD7E0D" w:rsidRDefault="005A2502" w:rsidP="005A2502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14:paraId="52AFBFDD" w14:textId="77777777" w:rsidR="005A2502" w:rsidRPr="00AD7E0D" w:rsidRDefault="005A2502" w:rsidP="005A2502">
            <w:pPr>
              <w:bidi w:val="0"/>
              <w:jc w:val="center"/>
              <w:rPr>
                <w:sz w:val="28"/>
                <w:szCs w:val="28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1.4</w:t>
            </w: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053DB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97DD8D7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BF4999A" w14:textId="75815739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10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59F8F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6F91B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F5794" w14:textId="5F753B5F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1.14</w:t>
            </w:r>
          </w:p>
        </w:tc>
        <w:tc>
          <w:tcPr>
            <w:tcW w:w="2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F8947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36" w:type="dxa"/>
            <w:vMerge/>
            <w:shd w:val="clear" w:color="auto" w:fill="D6E3BC" w:themeFill="accent3" w:themeFillTint="66"/>
            <w:vAlign w:val="center"/>
          </w:tcPr>
          <w:p w14:paraId="375251B2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14:paraId="6C14D887" w14:textId="5FBDD3DC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1.18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vAlign w:val="center"/>
          </w:tcPr>
          <w:p w14:paraId="76C39C17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5A2502" w:rsidRPr="004D167E" w14:paraId="2F8CBE66" w14:textId="77777777" w:rsidTr="005A2502">
        <w:trPr>
          <w:trHeight w:val="486"/>
          <w:jc w:val="center"/>
        </w:trPr>
        <w:tc>
          <w:tcPr>
            <w:tcW w:w="775" w:type="dxa"/>
            <w:vMerge/>
            <w:shd w:val="clear" w:color="auto" w:fill="E5B8B7" w:themeFill="accent2" w:themeFillTint="66"/>
            <w:vAlign w:val="center"/>
          </w:tcPr>
          <w:p w14:paraId="3753138F" w14:textId="77777777" w:rsidR="005A2502" w:rsidRPr="00AD7E0D" w:rsidRDefault="005A2502" w:rsidP="005A2502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92226ED" w14:textId="77777777" w:rsidR="005A2502" w:rsidRPr="00AD7E0D" w:rsidRDefault="005A2502" w:rsidP="005A2502">
            <w:pPr>
              <w:bidi w:val="0"/>
              <w:jc w:val="center"/>
              <w:rPr>
                <w:sz w:val="28"/>
                <w:szCs w:val="28"/>
              </w:rPr>
            </w:pPr>
            <w:r w:rsidRPr="00AD7E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1.5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3BFAA1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FCF4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71041" w14:textId="1498D43E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771DE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82CD6" w14:textId="5DD2CDD2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CE9C2" w14:textId="2ADA5230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C06D0E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36" w:type="dxa"/>
            <w:vMerge/>
            <w:shd w:val="clear" w:color="auto" w:fill="D6E3BC" w:themeFill="accent3" w:themeFillTint="66"/>
            <w:vAlign w:val="center"/>
          </w:tcPr>
          <w:p w14:paraId="402460B1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14:paraId="4E9E3F64" w14:textId="10758CC5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1.19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vAlign w:val="center"/>
          </w:tcPr>
          <w:p w14:paraId="27F2B80C" w14:textId="77777777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5A3C" w14:textId="4D9E56C4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17A46" w14:textId="1348096D" w:rsidR="005A2502" w:rsidRPr="00AD7E0D" w:rsidRDefault="005A2502" w:rsidP="005A2502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</w:tr>
      <w:tr w:rsidR="005A2502" w:rsidRPr="004D167E" w14:paraId="099872E0" w14:textId="0C4A05DB" w:rsidTr="005A2502">
        <w:trPr>
          <w:gridAfter w:val="7"/>
          <w:wAfter w:w="4308" w:type="dxa"/>
          <w:trHeight w:val="486"/>
          <w:jc w:val="center"/>
        </w:trPr>
        <w:tc>
          <w:tcPr>
            <w:tcW w:w="775" w:type="dxa"/>
            <w:vMerge/>
            <w:shd w:val="clear" w:color="auto" w:fill="E5B8B7" w:themeFill="accent2" w:themeFillTint="66"/>
            <w:vAlign w:val="center"/>
          </w:tcPr>
          <w:p w14:paraId="1803BCD1" w14:textId="77777777" w:rsidR="005A2502" w:rsidRPr="00AD7E0D" w:rsidRDefault="005A2502" w:rsidP="00872927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26F5E10" w14:textId="579E5ABC" w:rsidR="005A2502" w:rsidRPr="00AD7E0D" w:rsidRDefault="005A2502" w:rsidP="00872927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1.6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78783B" w14:textId="77777777" w:rsidR="005A2502" w:rsidRPr="00AD7E0D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96944" w14:textId="77777777" w:rsidR="005A2502" w:rsidRPr="00AD7E0D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83CE1" w14:textId="77777777" w:rsidR="005A2502" w:rsidRPr="00AD7E0D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46226" w14:textId="77777777" w:rsidR="005A2502" w:rsidRPr="00AD7E0D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F52BE" w14:textId="77777777" w:rsidR="005A2502" w:rsidRPr="004D167E" w:rsidRDefault="005A2502">
            <w:pPr>
              <w:bidi w:val="0"/>
            </w:pPr>
          </w:p>
        </w:tc>
      </w:tr>
      <w:tr w:rsidR="005A2502" w:rsidRPr="004D167E" w14:paraId="01A2BDAE" w14:textId="77777777" w:rsidTr="00A74E4E">
        <w:trPr>
          <w:gridAfter w:val="7"/>
          <w:wAfter w:w="4308" w:type="dxa"/>
          <w:trHeight w:val="486"/>
          <w:jc w:val="center"/>
        </w:trPr>
        <w:tc>
          <w:tcPr>
            <w:tcW w:w="775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5E0EE067" w14:textId="77777777" w:rsidR="005A2502" w:rsidRPr="00AD7E0D" w:rsidRDefault="005A2502" w:rsidP="00872927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BC3C4AD" w14:textId="710BD07C" w:rsidR="005A2502" w:rsidRPr="00AD7E0D" w:rsidRDefault="005A2502" w:rsidP="00872927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7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5D2B51" w14:textId="77777777" w:rsidR="005A2502" w:rsidRPr="00AD7E0D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8FAE" w14:textId="77777777" w:rsidR="005A2502" w:rsidRPr="00AD7E0D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BC419" w14:textId="77777777" w:rsidR="005A2502" w:rsidRPr="00AD7E0D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F4A2" w14:textId="77777777" w:rsidR="005A2502" w:rsidRPr="00AD7E0D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0329E" w14:textId="77777777" w:rsidR="005A2502" w:rsidRPr="00AD7E0D" w:rsidRDefault="005A2502" w:rsidP="00872927">
            <w:pPr>
              <w:spacing w:after="120" w:line="4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</w:tr>
    </w:tbl>
    <w:p w14:paraId="02C01C0E" w14:textId="77777777" w:rsidR="00DB5025" w:rsidRDefault="00054343" w:rsidP="00F44100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BH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*مجموعة العمل </w:t>
      </w:r>
      <w:r w:rsidR="006C7379" w:rsidRPr="006C7379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الخامسة تبدأ أعمالها </w:t>
      </w:r>
      <w:r w:rsidR="00451169">
        <w:rPr>
          <w:rFonts w:ascii="Traditional Arabic" w:hAnsi="Traditional Arabic" w:cs="Traditional Arabic" w:hint="cs"/>
          <w:sz w:val="28"/>
          <w:szCs w:val="28"/>
          <w:rtl/>
        </w:rPr>
        <w:t xml:space="preserve">لاحقا خلال </w:t>
      </w:r>
      <w:r w:rsidRPr="006C7379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الدورة</w:t>
      </w:r>
      <w:r w:rsidR="006C7379" w:rsidRPr="006C7379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 الحالية</w:t>
      </w:r>
      <w:r w:rsidR="00D66410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.</w:t>
      </w:r>
    </w:p>
    <w:p w14:paraId="4172779B" w14:textId="77777777" w:rsidR="00A74E4E" w:rsidRDefault="00A74E4E">
      <w:pPr>
        <w:bidi w:val="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14:paraId="0571854A" w14:textId="1FB36D3D" w:rsidR="00003AF4" w:rsidRPr="00003AF4" w:rsidRDefault="00003AF4" w:rsidP="00003AF4">
      <w:pPr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رابعاً</w:t>
      </w:r>
      <w:r w:rsidRPr="00003AF4">
        <w:rPr>
          <w:rFonts w:ascii="Traditional Arabic" w:hAnsi="Traditional Arabic" w:cs="Traditional Arabic"/>
          <w:b/>
          <w:bCs/>
          <w:sz w:val="32"/>
          <w:szCs w:val="32"/>
          <w:rtl/>
        </w:rPr>
        <w:t>: مهام رؤساء مجموعات العمل</w:t>
      </w:r>
    </w:p>
    <w:p w14:paraId="6F131E0E" w14:textId="77777777" w:rsidR="00003AF4" w:rsidRPr="00003AF4" w:rsidRDefault="00003AF4" w:rsidP="00AD222C">
      <w:pPr>
        <w:pStyle w:val="ListParagraph"/>
        <w:numPr>
          <w:ilvl w:val="0"/>
          <w:numId w:val="6"/>
        </w:numPr>
        <w:spacing w:after="0"/>
        <w:ind w:left="432" w:hanging="432"/>
        <w:jc w:val="both"/>
        <w:rPr>
          <w:rFonts w:ascii="Traditional Arabic" w:hAnsi="Traditional Arabic" w:cs="Traditional Arabic"/>
          <w:sz w:val="28"/>
          <w:szCs w:val="28"/>
          <w:lang w:bidi="ar-BH"/>
        </w:rPr>
      </w:pPr>
      <w:r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>التنسيق مع رئاسة الفريق بشأن الوقت والفترة الزمنية الكافية لاجتماعات المجموعة أثناء اجتماعات الفريق.</w:t>
      </w:r>
    </w:p>
    <w:p w14:paraId="4B74E570" w14:textId="77777777" w:rsidR="00003AF4" w:rsidRPr="00003AF4" w:rsidRDefault="00003AF4" w:rsidP="00AD222C">
      <w:pPr>
        <w:pStyle w:val="ListParagraph"/>
        <w:numPr>
          <w:ilvl w:val="0"/>
          <w:numId w:val="6"/>
        </w:numPr>
        <w:spacing w:after="0"/>
        <w:ind w:left="432" w:hanging="432"/>
        <w:jc w:val="both"/>
        <w:rPr>
          <w:rFonts w:ascii="Traditional Arabic" w:hAnsi="Traditional Arabic" w:cs="Traditional Arabic"/>
          <w:sz w:val="28"/>
          <w:szCs w:val="28"/>
          <w:lang w:bidi="ar-BH"/>
        </w:rPr>
      </w:pPr>
      <w:r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>متابعة أعمال اللجان الدراسية وفرق العمل ذات الصلة في الاتحاد الدولي للاتصالات فيما يتعلق بالبنود التي تندرج تحت هذه المجموعة.</w:t>
      </w:r>
    </w:p>
    <w:p w14:paraId="5E92D852" w14:textId="77777777" w:rsidR="00003AF4" w:rsidRPr="00003AF4" w:rsidRDefault="00003AF4" w:rsidP="00AD222C">
      <w:pPr>
        <w:pStyle w:val="ListParagraph"/>
        <w:numPr>
          <w:ilvl w:val="0"/>
          <w:numId w:val="6"/>
        </w:numPr>
        <w:spacing w:after="0"/>
        <w:ind w:left="432" w:hanging="432"/>
        <w:jc w:val="both"/>
        <w:rPr>
          <w:rFonts w:ascii="Traditional Arabic" w:hAnsi="Traditional Arabic" w:cs="Traditional Arabic"/>
          <w:sz w:val="28"/>
          <w:szCs w:val="28"/>
          <w:lang w:bidi="ar-BH"/>
        </w:rPr>
      </w:pPr>
      <w:r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>إعداد تقارير مفصلة بالتنسيق مع منسقي البنود المدرجة تحت مجموعات العمل متضمنة آخر ما تم بشأن مسودة تقرير الاجتماع التحضيري وتقديمها لاجتماعات الفريق العربي الدائم للطيف الترددي.</w:t>
      </w:r>
    </w:p>
    <w:p w14:paraId="4281AB70" w14:textId="77777777" w:rsidR="00003AF4" w:rsidRPr="00003AF4" w:rsidRDefault="00003AF4" w:rsidP="00AD222C">
      <w:pPr>
        <w:pStyle w:val="ListParagraph"/>
        <w:numPr>
          <w:ilvl w:val="0"/>
          <w:numId w:val="6"/>
        </w:numPr>
        <w:spacing w:after="0"/>
        <w:ind w:left="432" w:hanging="432"/>
        <w:jc w:val="both"/>
        <w:rPr>
          <w:rFonts w:ascii="Traditional Arabic" w:hAnsi="Traditional Arabic" w:cs="Traditional Arabic"/>
          <w:sz w:val="28"/>
          <w:szCs w:val="28"/>
          <w:lang w:bidi="ar-BH"/>
        </w:rPr>
      </w:pPr>
      <w:r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 xml:space="preserve">متابعة اجتماعات المجموعات الإقليمية الأخرى والتنسيق معها حول المواقف </w:t>
      </w:r>
      <w:r w:rsidRPr="00003AF4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والمقترحات</w:t>
      </w:r>
      <w:r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 xml:space="preserve"> بشأن بنود جدول أعمال المؤتمر المندرجة تحت المجموعة.</w:t>
      </w:r>
    </w:p>
    <w:p w14:paraId="039AC5E0" w14:textId="77777777" w:rsidR="00003AF4" w:rsidRPr="00003AF4" w:rsidRDefault="00003AF4" w:rsidP="00AD222C">
      <w:pPr>
        <w:pStyle w:val="ListParagraph"/>
        <w:numPr>
          <w:ilvl w:val="0"/>
          <w:numId w:val="6"/>
        </w:numPr>
        <w:spacing w:after="0"/>
        <w:ind w:left="432" w:hanging="432"/>
        <w:jc w:val="both"/>
        <w:rPr>
          <w:rFonts w:ascii="Traditional Arabic" w:hAnsi="Traditional Arabic" w:cs="Traditional Arabic"/>
          <w:sz w:val="28"/>
          <w:szCs w:val="28"/>
          <w:lang w:bidi="ar-BH"/>
        </w:rPr>
      </w:pPr>
      <w:r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>المشاركة في الاجتماعات الاقليمية عند الحاجة وتمثيل المجموعة العربية في ورش العمل أو غيرها في الاتحاد الدولي للاتصالات الراديوية.</w:t>
      </w:r>
    </w:p>
    <w:p w14:paraId="63A5E236" w14:textId="77777777" w:rsidR="00003AF4" w:rsidRPr="00003AF4" w:rsidRDefault="00003AF4" w:rsidP="00AD222C">
      <w:pPr>
        <w:pStyle w:val="ListParagraph"/>
        <w:numPr>
          <w:ilvl w:val="0"/>
          <w:numId w:val="6"/>
        </w:numPr>
        <w:spacing w:after="0"/>
        <w:ind w:left="432" w:hanging="432"/>
        <w:jc w:val="both"/>
        <w:rPr>
          <w:rFonts w:ascii="Traditional Arabic" w:hAnsi="Traditional Arabic" w:cs="Traditional Arabic"/>
          <w:sz w:val="28"/>
          <w:szCs w:val="28"/>
          <w:lang w:bidi="ar-BH"/>
        </w:rPr>
      </w:pPr>
      <w:r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 xml:space="preserve">إعداد أوراق عمل بشأن بنود جدول أعمال المؤتمر وتقديمها للجان الدراسية وفرق العمل </w:t>
      </w:r>
      <w:r w:rsidR="00AD222C" w:rsidRPr="00003AF4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إذا</w:t>
      </w:r>
      <w:r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 xml:space="preserve"> دعت الحاجة.</w:t>
      </w:r>
    </w:p>
    <w:p w14:paraId="6DE42887" w14:textId="77777777" w:rsidR="00003AF4" w:rsidRPr="00003AF4" w:rsidRDefault="00003AF4" w:rsidP="00AD222C">
      <w:pPr>
        <w:pStyle w:val="ListParagraph"/>
        <w:numPr>
          <w:ilvl w:val="0"/>
          <w:numId w:val="6"/>
        </w:numPr>
        <w:spacing w:after="0"/>
        <w:ind w:left="432" w:hanging="432"/>
        <w:jc w:val="both"/>
        <w:rPr>
          <w:rFonts w:ascii="Traditional Arabic" w:hAnsi="Traditional Arabic" w:cs="Traditional Arabic"/>
          <w:sz w:val="28"/>
          <w:szCs w:val="28"/>
          <w:lang w:bidi="ar-BH"/>
        </w:rPr>
      </w:pPr>
      <w:r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 xml:space="preserve"> اقتراح المواقف المناسبة بشأن البنود المندرجة تحت هذه المجموعة وبذل الجهود الممكنة من أجل التوافق </w:t>
      </w:r>
      <w:r w:rsidR="007343B9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بين</w:t>
      </w:r>
      <w:r w:rsidR="007343B9"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 xml:space="preserve"> </w:t>
      </w:r>
      <w:r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>مرئيات الادارات العربية في هذا الشأن، وتزويد الجلسة العامة في الاجتماع العربي بالموقف المناسب.</w:t>
      </w:r>
    </w:p>
    <w:p w14:paraId="64F3A6FF" w14:textId="77777777" w:rsidR="00003AF4" w:rsidRPr="00003AF4" w:rsidRDefault="00003AF4" w:rsidP="00AD222C">
      <w:pPr>
        <w:pStyle w:val="ListParagraph"/>
        <w:numPr>
          <w:ilvl w:val="0"/>
          <w:numId w:val="6"/>
        </w:numPr>
        <w:spacing w:after="0"/>
        <w:ind w:left="432" w:hanging="432"/>
        <w:jc w:val="both"/>
        <w:rPr>
          <w:rFonts w:ascii="Traditional Arabic" w:hAnsi="Traditional Arabic" w:cs="Traditional Arabic"/>
          <w:sz w:val="28"/>
          <w:szCs w:val="28"/>
          <w:lang w:bidi="ar-BH"/>
        </w:rPr>
      </w:pPr>
      <w:r w:rsidRPr="00003AF4">
        <w:rPr>
          <w:rFonts w:ascii="Traditional Arabic" w:hAnsi="Traditional Arabic" w:cs="Traditional Arabic"/>
          <w:sz w:val="28"/>
          <w:szCs w:val="28"/>
          <w:rtl/>
          <w:lang w:bidi="ar-BH"/>
        </w:rPr>
        <w:t>تشكيل فريق لصياغة الأوراق العربية وتقديمها للجلسة العامة في اليوم الأخير من اجتماعات مجموعات العمل ضمن اجتماع الفريق العربي الذي يسبق المؤتمر العالمي للاتصالات الراديوية وجمعية الاتصالات الراديوية.</w:t>
      </w:r>
    </w:p>
    <w:p w14:paraId="725A6A76" w14:textId="77777777" w:rsidR="00003AF4" w:rsidRPr="00BF785E" w:rsidRDefault="00003AF4" w:rsidP="00674EC1">
      <w:pPr>
        <w:rPr>
          <w:rFonts w:ascii="Traditional Arabic" w:hAnsi="Traditional Arabic" w:cs="Traditional Arabic"/>
          <w:sz w:val="28"/>
          <w:szCs w:val="28"/>
          <w:lang w:bidi="ar-BH"/>
        </w:rPr>
      </w:pPr>
    </w:p>
    <w:sectPr w:rsidR="00003AF4" w:rsidRPr="00BF785E" w:rsidSect="00251088">
      <w:headerReference w:type="default" r:id="rId8"/>
      <w:footerReference w:type="default" r:id="rId9"/>
      <w:pgSz w:w="11906" w:h="16838"/>
      <w:pgMar w:top="1808" w:right="1558" w:bottom="993" w:left="1276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8928" w14:textId="77777777" w:rsidR="004F7AC0" w:rsidRDefault="004F7AC0" w:rsidP="00AC679B">
      <w:pPr>
        <w:spacing w:after="0" w:line="240" w:lineRule="auto"/>
      </w:pPr>
      <w:r>
        <w:separator/>
      </w:r>
    </w:p>
  </w:endnote>
  <w:endnote w:type="continuationSeparator" w:id="0">
    <w:p w14:paraId="22B8E490" w14:textId="77777777" w:rsidR="004F7AC0" w:rsidRDefault="004F7AC0" w:rsidP="00AC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00045805"/>
      <w:docPartObj>
        <w:docPartGallery w:val="Page Numbers (Bottom of Page)"/>
        <w:docPartUnique/>
      </w:docPartObj>
    </w:sdtPr>
    <w:sdtEndPr/>
    <w:sdtContent>
      <w:p w14:paraId="523A1D89" w14:textId="77777777" w:rsidR="00AC679B" w:rsidRDefault="00AC679B" w:rsidP="00BF78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C11">
          <w:rPr>
            <w:noProof/>
            <w:rtl/>
          </w:rPr>
          <w:t>1</w:t>
        </w:r>
        <w:r>
          <w:rPr>
            <w:noProof/>
          </w:rPr>
          <w:fldChar w:fldCharType="end"/>
        </w:r>
        <w:r>
          <w:rPr>
            <w:rFonts w:hint="cs"/>
            <w:rtl/>
          </w:rPr>
          <w:t>/</w:t>
        </w:r>
        <w:r w:rsidR="00BF785E">
          <w:rPr>
            <w:rFonts w:hint="cs"/>
            <w:rtl/>
          </w:rPr>
          <w:t>7</w:t>
        </w:r>
      </w:p>
    </w:sdtContent>
  </w:sdt>
  <w:p w14:paraId="1A8BE7B0" w14:textId="77777777" w:rsidR="00AC679B" w:rsidRDefault="00AC6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585C" w14:textId="77777777" w:rsidR="004F7AC0" w:rsidRDefault="004F7AC0" w:rsidP="00AC679B">
      <w:pPr>
        <w:spacing w:after="0" w:line="240" w:lineRule="auto"/>
      </w:pPr>
      <w:r>
        <w:separator/>
      </w:r>
    </w:p>
  </w:footnote>
  <w:footnote w:type="continuationSeparator" w:id="0">
    <w:p w14:paraId="30E2ABB8" w14:textId="77777777" w:rsidR="004F7AC0" w:rsidRDefault="004F7AC0" w:rsidP="00AC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4575" w14:textId="77777777" w:rsidR="00A8696D" w:rsidRDefault="00A8696D">
    <w:pPr>
      <w:pStyle w:val="Header"/>
    </w:pPr>
    <w:r>
      <w:rPr>
        <w:noProof/>
      </w:rPr>
      <w:drawing>
        <wp:inline distT="0" distB="0" distL="0" distR="0" wp14:anchorId="582678BD" wp14:editId="444D5FA9">
          <wp:extent cx="2352709" cy="54259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1300" cy="55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5A1"/>
    <w:multiLevelType w:val="hybridMultilevel"/>
    <w:tmpl w:val="3FC6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56D"/>
    <w:multiLevelType w:val="hybridMultilevel"/>
    <w:tmpl w:val="8A7ACAE2"/>
    <w:lvl w:ilvl="0" w:tplc="49F6BE56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F3516D"/>
    <w:multiLevelType w:val="hybridMultilevel"/>
    <w:tmpl w:val="0374DC92"/>
    <w:lvl w:ilvl="0" w:tplc="460812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2E0D14"/>
    <w:multiLevelType w:val="hybridMultilevel"/>
    <w:tmpl w:val="1214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53C95"/>
    <w:multiLevelType w:val="hybridMultilevel"/>
    <w:tmpl w:val="623AD9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68E9"/>
    <w:multiLevelType w:val="hybridMultilevel"/>
    <w:tmpl w:val="088AF5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72195"/>
    <w:multiLevelType w:val="hybridMultilevel"/>
    <w:tmpl w:val="F416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3568"/>
    <w:multiLevelType w:val="hybridMultilevel"/>
    <w:tmpl w:val="C4B25FF8"/>
    <w:lvl w:ilvl="0" w:tplc="D4C8A740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1148E"/>
    <w:multiLevelType w:val="hybridMultilevel"/>
    <w:tmpl w:val="84FA145A"/>
    <w:lvl w:ilvl="0" w:tplc="7C568A0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42DC9"/>
    <w:multiLevelType w:val="hybridMultilevel"/>
    <w:tmpl w:val="C4B25FF8"/>
    <w:lvl w:ilvl="0" w:tplc="D4C8A740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71"/>
    <w:rsid w:val="00000299"/>
    <w:rsid w:val="00003AF4"/>
    <w:rsid w:val="00013936"/>
    <w:rsid w:val="0001672E"/>
    <w:rsid w:val="0005239A"/>
    <w:rsid w:val="00054343"/>
    <w:rsid w:val="000547AA"/>
    <w:rsid w:val="000550B8"/>
    <w:rsid w:val="00056D05"/>
    <w:rsid w:val="00072509"/>
    <w:rsid w:val="00094B2C"/>
    <w:rsid w:val="00096992"/>
    <w:rsid w:val="000A5C3E"/>
    <w:rsid w:val="000A5D6F"/>
    <w:rsid w:val="000C2E1A"/>
    <w:rsid w:val="000D36E6"/>
    <w:rsid w:val="000E590C"/>
    <w:rsid w:val="000E6AD2"/>
    <w:rsid w:val="000F12B3"/>
    <w:rsid w:val="000F32B2"/>
    <w:rsid w:val="000F3A64"/>
    <w:rsid w:val="00102C53"/>
    <w:rsid w:val="0013227C"/>
    <w:rsid w:val="0017442D"/>
    <w:rsid w:val="00184F76"/>
    <w:rsid w:val="0019132E"/>
    <w:rsid w:val="001A4D78"/>
    <w:rsid w:val="001B3B4C"/>
    <w:rsid w:val="001B495E"/>
    <w:rsid w:val="001C49C3"/>
    <w:rsid w:val="001C74A5"/>
    <w:rsid w:val="001F3E24"/>
    <w:rsid w:val="00204CB2"/>
    <w:rsid w:val="00205448"/>
    <w:rsid w:val="00207EC5"/>
    <w:rsid w:val="00211244"/>
    <w:rsid w:val="00212AF9"/>
    <w:rsid w:val="00217DCE"/>
    <w:rsid w:val="00251088"/>
    <w:rsid w:val="00264663"/>
    <w:rsid w:val="00264F38"/>
    <w:rsid w:val="0026746D"/>
    <w:rsid w:val="0027432B"/>
    <w:rsid w:val="002805E0"/>
    <w:rsid w:val="002972CC"/>
    <w:rsid w:val="002A0261"/>
    <w:rsid w:val="002B3185"/>
    <w:rsid w:val="002B78EF"/>
    <w:rsid w:val="002C0DCF"/>
    <w:rsid w:val="002D5F01"/>
    <w:rsid w:val="002E37DB"/>
    <w:rsid w:val="002F2467"/>
    <w:rsid w:val="002F7E95"/>
    <w:rsid w:val="003021FA"/>
    <w:rsid w:val="00307474"/>
    <w:rsid w:val="00314643"/>
    <w:rsid w:val="00347674"/>
    <w:rsid w:val="00350288"/>
    <w:rsid w:val="00351AC6"/>
    <w:rsid w:val="00365322"/>
    <w:rsid w:val="00365967"/>
    <w:rsid w:val="00391948"/>
    <w:rsid w:val="003934A3"/>
    <w:rsid w:val="00396324"/>
    <w:rsid w:val="003A3C16"/>
    <w:rsid w:val="003B037D"/>
    <w:rsid w:val="003C50FB"/>
    <w:rsid w:val="003C60C4"/>
    <w:rsid w:val="003D1162"/>
    <w:rsid w:val="003E6ECB"/>
    <w:rsid w:val="004203FF"/>
    <w:rsid w:val="00433CC9"/>
    <w:rsid w:val="004346EB"/>
    <w:rsid w:val="00442874"/>
    <w:rsid w:val="00451169"/>
    <w:rsid w:val="00460C15"/>
    <w:rsid w:val="00463D34"/>
    <w:rsid w:val="004644C7"/>
    <w:rsid w:val="0046766D"/>
    <w:rsid w:val="00470A35"/>
    <w:rsid w:val="004952D9"/>
    <w:rsid w:val="004A6950"/>
    <w:rsid w:val="004B6CA5"/>
    <w:rsid w:val="004D2676"/>
    <w:rsid w:val="004D45FF"/>
    <w:rsid w:val="004E4108"/>
    <w:rsid w:val="004F7AC0"/>
    <w:rsid w:val="0051208E"/>
    <w:rsid w:val="00525876"/>
    <w:rsid w:val="0055700D"/>
    <w:rsid w:val="0056598A"/>
    <w:rsid w:val="00571F26"/>
    <w:rsid w:val="00581282"/>
    <w:rsid w:val="005A2502"/>
    <w:rsid w:val="005B72DB"/>
    <w:rsid w:val="005C26D4"/>
    <w:rsid w:val="005C5663"/>
    <w:rsid w:val="005D0812"/>
    <w:rsid w:val="005F23CA"/>
    <w:rsid w:val="00615929"/>
    <w:rsid w:val="00634CC6"/>
    <w:rsid w:val="00635844"/>
    <w:rsid w:val="00660F1D"/>
    <w:rsid w:val="00674EC1"/>
    <w:rsid w:val="0069280D"/>
    <w:rsid w:val="006A5EA4"/>
    <w:rsid w:val="006B21D6"/>
    <w:rsid w:val="006C3CE4"/>
    <w:rsid w:val="006C7379"/>
    <w:rsid w:val="006D24E0"/>
    <w:rsid w:val="006D69B5"/>
    <w:rsid w:val="006E6139"/>
    <w:rsid w:val="006F0944"/>
    <w:rsid w:val="006F68A4"/>
    <w:rsid w:val="007119C4"/>
    <w:rsid w:val="00717066"/>
    <w:rsid w:val="00723F52"/>
    <w:rsid w:val="00726017"/>
    <w:rsid w:val="007343B9"/>
    <w:rsid w:val="007350F0"/>
    <w:rsid w:val="00740D71"/>
    <w:rsid w:val="00740DB2"/>
    <w:rsid w:val="00766E65"/>
    <w:rsid w:val="007C56CC"/>
    <w:rsid w:val="007D32BB"/>
    <w:rsid w:val="007E7AA2"/>
    <w:rsid w:val="008004D8"/>
    <w:rsid w:val="00811067"/>
    <w:rsid w:val="00813462"/>
    <w:rsid w:val="00827444"/>
    <w:rsid w:val="00840001"/>
    <w:rsid w:val="00842786"/>
    <w:rsid w:val="008469B6"/>
    <w:rsid w:val="008502CA"/>
    <w:rsid w:val="00872CC1"/>
    <w:rsid w:val="00873FCA"/>
    <w:rsid w:val="00886F57"/>
    <w:rsid w:val="008921D7"/>
    <w:rsid w:val="008955F5"/>
    <w:rsid w:val="008B09CB"/>
    <w:rsid w:val="008C1B98"/>
    <w:rsid w:val="008C2039"/>
    <w:rsid w:val="00910464"/>
    <w:rsid w:val="009114D6"/>
    <w:rsid w:val="00957C11"/>
    <w:rsid w:val="00961E48"/>
    <w:rsid w:val="00970CB2"/>
    <w:rsid w:val="009828E2"/>
    <w:rsid w:val="00986992"/>
    <w:rsid w:val="009B0097"/>
    <w:rsid w:val="009E1B09"/>
    <w:rsid w:val="009E2343"/>
    <w:rsid w:val="00A14FAC"/>
    <w:rsid w:val="00A20149"/>
    <w:rsid w:val="00A26EAD"/>
    <w:rsid w:val="00A27039"/>
    <w:rsid w:val="00A503E1"/>
    <w:rsid w:val="00A55952"/>
    <w:rsid w:val="00A66FF6"/>
    <w:rsid w:val="00A70BE3"/>
    <w:rsid w:val="00A74E4E"/>
    <w:rsid w:val="00A75025"/>
    <w:rsid w:val="00A8696D"/>
    <w:rsid w:val="00A943A8"/>
    <w:rsid w:val="00AA1209"/>
    <w:rsid w:val="00AA1D0D"/>
    <w:rsid w:val="00AB27E4"/>
    <w:rsid w:val="00AC0E42"/>
    <w:rsid w:val="00AC2F29"/>
    <w:rsid w:val="00AC679B"/>
    <w:rsid w:val="00AD222C"/>
    <w:rsid w:val="00AD7E0D"/>
    <w:rsid w:val="00AE659E"/>
    <w:rsid w:val="00B14C80"/>
    <w:rsid w:val="00B167E6"/>
    <w:rsid w:val="00B22F1A"/>
    <w:rsid w:val="00B23976"/>
    <w:rsid w:val="00B23FA9"/>
    <w:rsid w:val="00B469EE"/>
    <w:rsid w:val="00B46F4F"/>
    <w:rsid w:val="00B746AA"/>
    <w:rsid w:val="00B747E8"/>
    <w:rsid w:val="00B758CD"/>
    <w:rsid w:val="00B933A7"/>
    <w:rsid w:val="00BB4A48"/>
    <w:rsid w:val="00BC73DE"/>
    <w:rsid w:val="00BF6234"/>
    <w:rsid w:val="00BF785E"/>
    <w:rsid w:val="00C03E95"/>
    <w:rsid w:val="00C0419E"/>
    <w:rsid w:val="00C076B6"/>
    <w:rsid w:val="00C114C0"/>
    <w:rsid w:val="00C2397C"/>
    <w:rsid w:val="00C277B4"/>
    <w:rsid w:val="00C34C33"/>
    <w:rsid w:val="00C706F2"/>
    <w:rsid w:val="00C869FD"/>
    <w:rsid w:val="00C86E83"/>
    <w:rsid w:val="00CA6C15"/>
    <w:rsid w:val="00CC7104"/>
    <w:rsid w:val="00CD3160"/>
    <w:rsid w:val="00CF2AAB"/>
    <w:rsid w:val="00D25219"/>
    <w:rsid w:val="00D66410"/>
    <w:rsid w:val="00D86502"/>
    <w:rsid w:val="00D91DAC"/>
    <w:rsid w:val="00D93A0D"/>
    <w:rsid w:val="00DB5025"/>
    <w:rsid w:val="00DE0879"/>
    <w:rsid w:val="00DE351A"/>
    <w:rsid w:val="00E03C75"/>
    <w:rsid w:val="00E11FD2"/>
    <w:rsid w:val="00E121D7"/>
    <w:rsid w:val="00E2080D"/>
    <w:rsid w:val="00E2542A"/>
    <w:rsid w:val="00E336AA"/>
    <w:rsid w:val="00E34EEA"/>
    <w:rsid w:val="00E5399A"/>
    <w:rsid w:val="00E67915"/>
    <w:rsid w:val="00E67CD5"/>
    <w:rsid w:val="00E741AD"/>
    <w:rsid w:val="00EB419E"/>
    <w:rsid w:val="00EB445A"/>
    <w:rsid w:val="00EB7232"/>
    <w:rsid w:val="00F02B83"/>
    <w:rsid w:val="00F25CA5"/>
    <w:rsid w:val="00F409C3"/>
    <w:rsid w:val="00F44100"/>
    <w:rsid w:val="00F50714"/>
    <w:rsid w:val="00F51544"/>
    <w:rsid w:val="00F76215"/>
    <w:rsid w:val="00F83E06"/>
    <w:rsid w:val="00F877B5"/>
    <w:rsid w:val="00FA2CEC"/>
    <w:rsid w:val="00FB4F71"/>
    <w:rsid w:val="00FB70CE"/>
    <w:rsid w:val="00FC4CD8"/>
    <w:rsid w:val="00FC628D"/>
    <w:rsid w:val="00FE094B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E6B74"/>
  <w15:docId w15:val="{B77B7BAB-C59F-4CAA-A96A-644C9B2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9B"/>
  </w:style>
  <w:style w:type="paragraph" w:styleId="Footer">
    <w:name w:val="footer"/>
    <w:basedOn w:val="Normal"/>
    <w:link w:val="FooterChar"/>
    <w:uiPriority w:val="99"/>
    <w:unhideWhenUsed/>
    <w:rsid w:val="00AC6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9B"/>
  </w:style>
  <w:style w:type="paragraph" w:customStyle="1" w:styleId="Tabletexte">
    <w:name w:val="Table texte"/>
    <w:basedOn w:val="Normal"/>
    <w:qFormat/>
    <w:rsid w:val="00347674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both"/>
    </w:pPr>
    <w:rPr>
      <w:rFonts w:ascii="Times New Roman" w:eastAsia="SimSun" w:hAnsi="Times New Roman" w:cs="Traditional Arabic"/>
      <w:sz w:val="20"/>
      <w:szCs w:val="26"/>
      <w:lang w:eastAsia="zh-CN" w:bidi="ar-SY"/>
    </w:rPr>
  </w:style>
  <w:style w:type="character" w:styleId="CommentReference">
    <w:name w:val="annotation reference"/>
    <w:basedOn w:val="DefaultParagraphFont"/>
    <w:uiPriority w:val="99"/>
    <w:semiHidden/>
    <w:unhideWhenUsed/>
    <w:rsid w:val="00734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3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2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840bbd9b-6a19-4a06-a095-8626bf358be2</TitusGUID>
  <TitusMetadata xmlns="">eyJucyI6Imh0dHA6XC9cL3d3dy50aXR1cy5jb21cL25zXC9tZWxpc3NhIiwicHJvcHMiOlt7Im4iOiJDTEFTU0lGSUNBVElPTiIsInZhbHMiOlt7InZhbHVlIjoiVElUVVNfUFVCTElDIn1dfV19</TitusMetadata>
</titus>
</file>

<file path=customXml/itemProps1.xml><?xml version="1.0" encoding="utf-8"?>
<ds:datastoreItem xmlns:ds="http://schemas.openxmlformats.org/officeDocument/2006/customXml" ds:itemID="{11F635CF-C46A-4337-95B2-B1E1010D4EE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S. ALAmri</dc:creator>
  <cp:keywords>TITUS Classification: TITUS_PUBLIC</cp:keywords>
  <cp:lastModifiedBy>Mohammed Fraj Abdullah Aljbry</cp:lastModifiedBy>
  <cp:revision>2</cp:revision>
  <cp:lastPrinted>2020-02-05T10:52:00Z</cp:lastPrinted>
  <dcterms:created xsi:type="dcterms:W3CDTF">2024-03-31T13:42:00Z</dcterms:created>
  <dcterms:modified xsi:type="dcterms:W3CDTF">2024-03-31T13:42:00Z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840bbd9b-6a19-4a06-a095-8626bf358be2</vt:lpwstr>
  </property>
  <property fmtid="{D5CDD505-2E9C-101B-9397-08002B2CF9AE}" pid="3" name="CLASSIFICATION">
    <vt:lpwstr>TITUS_PUBLIC</vt:lpwstr>
  </property>
  <property fmtid="{D5CDD505-2E9C-101B-9397-08002B2CF9AE}" pid="4" name="OriginatingUser">
    <vt:lpwstr>mjnoobi</vt:lpwstr>
  </property>
</Properties>
</file>