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283F" w14:textId="13B5C5D1" w:rsidR="00E31ADE" w:rsidRDefault="0055108F" w:rsidP="00E31AD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مسودة </w:t>
      </w:r>
      <w:r w:rsidR="00E31ADE">
        <w:rPr>
          <w:rFonts w:ascii="Arial" w:hAnsi="Arial" w:cs="Arial" w:hint="cs"/>
          <w:b/>
          <w:bCs/>
          <w:sz w:val="32"/>
          <w:szCs w:val="32"/>
          <w:rtl/>
        </w:rPr>
        <w:t xml:space="preserve">خطة عمل </w:t>
      </w:r>
      <w:r w:rsidR="002C32A2" w:rsidRPr="001969A8">
        <w:rPr>
          <w:rFonts w:ascii="Arial" w:hAnsi="Arial" w:cs="Arial"/>
          <w:b/>
          <w:bCs/>
          <w:sz w:val="32"/>
          <w:szCs w:val="32"/>
          <w:rtl/>
        </w:rPr>
        <w:t>مجموعة</w:t>
      </w:r>
      <w:r w:rsidR="002C32A2" w:rsidRPr="001969A8">
        <w:rPr>
          <w:rFonts w:ascii="Arial" w:hAnsi="Arial" w:cs="Arial"/>
          <w:b/>
          <w:bCs/>
          <w:sz w:val="32"/>
          <w:szCs w:val="32"/>
        </w:rPr>
        <w:t xml:space="preserve"> </w:t>
      </w:r>
      <w:r w:rsidR="002C32A2" w:rsidRPr="001969A8">
        <w:rPr>
          <w:rFonts w:ascii="Arial" w:hAnsi="Arial" w:cs="Arial"/>
          <w:b/>
          <w:bCs/>
          <w:sz w:val="32"/>
          <w:szCs w:val="32"/>
          <w:rtl/>
        </w:rPr>
        <w:t>العمل</w:t>
      </w:r>
      <w:r w:rsidR="002C32A2" w:rsidRPr="001969A8">
        <w:rPr>
          <w:rFonts w:ascii="Arial" w:hAnsi="Arial" w:cs="Arial"/>
          <w:b/>
          <w:bCs/>
          <w:sz w:val="32"/>
          <w:szCs w:val="32"/>
        </w:rPr>
        <w:t xml:space="preserve"> </w:t>
      </w:r>
      <w:r w:rsidR="00A371D3">
        <w:rPr>
          <w:rFonts w:ascii="Arial" w:hAnsi="Arial" w:cs="Arial" w:hint="cs"/>
          <w:b/>
          <w:bCs/>
          <w:sz w:val="32"/>
          <w:szCs w:val="32"/>
          <w:rtl/>
        </w:rPr>
        <w:t>الثانية</w:t>
      </w:r>
    </w:p>
    <w:p w14:paraId="5BADB5C9" w14:textId="6FBB797A" w:rsidR="002C32A2" w:rsidRPr="001969A8" w:rsidRDefault="002C32A2" w:rsidP="00E31AD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969A8">
        <w:rPr>
          <w:rFonts w:ascii="Arial" w:hAnsi="Arial" w:cs="Arial"/>
          <w:b/>
          <w:bCs/>
          <w:sz w:val="32"/>
          <w:szCs w:val="32"/>
        </w:rPr>
        <w:t xml:space="preserve">) </w:t>
      </w:r>
      <w:r w:rsidR="00E31ADE" w:rsidRPr="00E31ADE">
        <w:rPr>
          <w:rFonts w:ascii="Arial" w:hAnsi="Arial" w:cs="Arial"/>
          <w:b/>
          <w:bCs/>
          <w:sz w:val="32"/>
          <w:szCs w:val="32"/>
          <w:rtl/>
        </w:rPr>
        <w:t xml:space="preserve">المسائل المتعلقة بالخدمة </w:t>
      </w:r>
      <w:proofErr w:type="spellStart"/>
      <w:r w:rsidR="00E31ADE" w:rsidRPr="00E31ADE">
        <w:rPr>
          <w:rFonts w:ascii="Arial" w:hAnsi="Arial" w:cs="Arial"/>
          <w:b/>
          <w:bCs/>
          <w:sz w:val="32"/>
          <w:szCs w:val="32"/>
          <w:rtl/>
        </w:rPr>
        <w:t>بالخدمة</w:t>
      </w:r>
      <w:proofErr w:type="spellEnd"/>
      <w:r w:rsidR="00E31ADE" w:rsidRPr="00E31ADE">
        <w:rPr>
          <w:rFonts w:ascii="Arial" w:hAnsi="Arial" w:cs="Arial"/>
          <w:b/>
          <w:bCs/>
          <w:sz w:val="32"/>
          <w:szCs w:val="32"/>
          <w:rtl/>
        </w:rPr>
        <w:t xml:space="preserve"> الثابتة والخدمة المتنقلة وخدمة التحديد الراديوي للموقع </w:t>
      </w:r>
      <w:r w:rsidRPr="001969A8">
        <w:rPr>
          <w:rFonts w:ascii="Arial" w:hAnsi="Arial" w:cs="Arial"/>
          <w:b/>
          <w:bCs/>
          <w:sz w:val="32"/>
          <w:szCs w:val="32"/>
        </w:rPr>
        <w:t>(</w:t>
      </w:r>
    </w:p>
    <w:p w14:paraId="3223B7C3" w14:textId="77777777" w:rsidR="00B6465C" w:rsidRPr="001969A8" w:rsidRDefault="00B6465C" w:rsidP="00EC5C6C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مقدمة:</w:t>
      </w:r>
    </w:p>
    <w:p w14:paraId="1F4D8238" w14:textId="1FB3B5DE" w:rsidR="00F60B0F" w:rsidRPr="001969A8" w:rsidRDefault="000865B0" w:rsidP="00E31ADE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1969A8">
        <w:rPr>
          <w:rFonts w:ascii="Arial" w:hAnsi="Arial" w:cs="Arial"/>
          <w:sz w:val="28"/>
          <w:szCs w:val="28"/>
          <w:rtl/>
        </w:rPr>
        <w:t xml:space="preserve">قام فريق العمل العربي الدائم للطيف الترددي خلال اجتماعه </w:t>
      </w:r>
      <w:r w:rsidR="00E31ADE" w:rsidRPr="00E31ADE">
        <w:rPr>
          <w:rFonts w:ascii="Arial" w:hAnsi="Arial" w:cs="Arial"/>
          <w:sz w:val="28"/>
          <w:szCs w:val="28"/>
          <w:rtl/>
        </w:rPr>
        <w:t>الثاني والثلاثون للفريق العربي الدائم للطيف الترددي</w:t>
      </w:r>
      <w:r w:rsidR="00E31ADE">
        <w:rPr>
          <w:rFonts w:ascii="Arial" w:hAnsi="Arial" w:cs="Arial" w:hint="cs"/>
          <w:sz w:val="28"/>
          <w:szCs w:val="28"/>
          <w:rtl/>
        </w:rPr>
        <w:t xml:space="preserve"> </w:t>
      </w:r>
      <w:r w:rsidR="00E31ADE" w:rsidRPr="00E31ADE">
        <w:rPr>
          <w:rFonts w:ascii="Arial" w:hAnsi="Arial" w:cs="Arial"/>
          <w:sz w:val="28"/>
          <w:szCs w:val="28"/>
          <w:rtl/>
        </w:rPr>
        <w:t>عمان من 13 إلى 16 مايو 2024</w:t>
      </w:r>
      <w:r w:rsidR="00D438F4">
        <w:rPr>
          <w:rFonts w:ascii="Arial" w:hAnsi="Arial" w:cs="Arial" w:hint="cs"/>
          <w:sz w:val="28"/>
          <w:szCs w:val="28"/>
          <w:rtl/>
        </w:rPr>
        <w:t xml:space="preserve"> </w:t>
      </w:r>
      <w:r w:rsidR="002C32A2" w:rsidRPr="001969A8">
        <w:rPr>
          <w:rFonts w:ascii="Arial" w:hAnsi="Arial" w:cs="Arial"/>
          <w:sz w:val="28"/>
          <w:szCs w:val="28"/>
          <w:rtl/>
        </w:rPr>
        <w:t>بتشكيل مجموعات العمل وتحديد رؤساء هذه المجموعات خلال الدورة</w:t>
      </w:r>
      <w:r w:rsidR="00EC5C6C" w:rsidRPr="001969A8">
        <w:rPr>
          <w:rFonts w:ascii="Arial" w:hAnsi="Arial" w:cs="Arial"/>
          <w:sz w:val="28"/>
          <w:szCs w:val="28"/>
        </w:rPr>
        <w:t xml:space="preserve"> </w:t>
      </w:r>
      <w:r w:rsidR="002C32A2" w:rsidRPr="001969A8">
        <w:rPr>
          <w:rFonts w:ascii="Arial" w:hAnsi="Arial" w:cs="Arial"/>
          <w:sz w:val="28"/>
          <w:szCs w:val="28"/>
          <w:rtl/>
        </w:rPr>
        <w:t xml:space="preserve">الدراسية الحالية حتى موعد انعقاد المؤتمر القادم </w:t>
      </w:r>
      <w:r w:rsidR="00D438F4">
        <w:rPr>
          <w:rFonts w:ascii="Arial" w:hAnsi="Arial" w:cs="Arial" w:hint="cs"/>
          <w:sz w:val="28"/>
          <w:szCs w:val="28"/>
          <w:rtl/>
          <w:lang w:bidi="ar-EG"/>
        </w:rPr>
        <w:t>27</w:t>
      </w:r>
      <w:r w:rsidR="002C32A2" w:rsidRPr="001969A8">
        <w:rPr>
          <w:rFonts w:ascii="Arial" w:hAnsi="Arial" w:cs="Arial"/>
          <w:sz w:val="28"/>
          <w:szCs w:val="28"/>
          <w:rtl/>
        </w:rPr>
        <w:t>-</w:t>
      </w:r>
      <w:r w:rsidR="002C32A2" w:rsidRPr="001969A8">
        <w:rPr>
          <w:rFonts w:ascii="Arial" w:hAnsi="Arial" w:cs="Arial"/>
          <w:sz w:val="28"/>
          <w:szCs w:val="28"/>
        </w:rPr>
        <w:t>WRC</w:t>
      </w:r>
      <w:r w:rsidR="002C32A2" w:rsidRPr="001969A8">
        <w:rPr>
          <w:rFonts w:ascii="Arial" w:hAnsi="Arial" w:cs="Arial"/>
          <w:sz w:val="28"/>
          <w:szCs w:val="28"/>
          <w:rtl/>
        </w:rPr>
        <w:t xml:space="preserve"> ومنها مجموعة العمل </w:t>
      </w:r>
      <w:r w:rsidR="00D438F4">
        <w:rPr>
          <w:rFonts w:ascii="Arial" w:hAnsi="Arial" w:cs="Arial" w:hint="cs"/>
          <w:sz w:val="28"/>
          <w:szCs w:val="28"/>
          <w:rtl/>
        </w:rPr>
        <w:t>الثانية</w:t>
      </w:r>
      <w:r w:rsidR="002C32A2" w:rsidRPr="001969A8">
        <w:rPr>
          <w:rFonts w:ascii="Arial" w:hAnsi="Arial" w:cs="Arial"/>
          <w:sz w:val="28"/>
          <w:szCs w:val="28"/>
          <w:rtl/>
        </w:rPr>
        <w:t xml:space="preserve"> </w:t>
      </w:r>
      <w:r w:rsidR="00D438F4">
        <w:rPr>
          <w:rFonts w:ascii="Arial" w:hAnsi="Arial" w:cs="Arial" w:hint="cs"/>
          <w:sz w:val="28"/>
          <w:szCs w:val="28"/>
          <w:rtl/>
        </w:rPr>
        <w:t>(</w:t>
      </w:r>
      <w:r w:rsidR="00D438F4" w:rsidRPr="00D438F4">
        <w:rPr>
          <w:rFonts w:ascii="Arial" w:hAnsi="Arial" w:cs="Arial"/>
          <w:sz w:val="28"/>
          <w:szCs w:val="28"/>
          <w:rtl/>
        </w:rPr>
        <w:t xml:space="preserve">المسائل المتعلقة بالخدمة </w:t>
      </w:r>
      <w:proofErr w:type="spellStart"/>
      <w:r w:rsidR="00D438F4" w:rsidRPr="00D438F4">
        <w:rPr>
          <w:rFonts w:ascii="Arial" w:hAnsi="Arial" w:cs="Arial"/>
          <w:sz w:val="28"/>
          <w:szCs w:val="28"/>
          <w:rtl/>
        </w:rPr>
        <w:t>بالخدمة</w:t>
      </w:r>
      <w:proofErr w:type="spellEnd"/>
      <w:r w:rsidR="00D438F4" w:rsidRPr="00D438F4">
        <w:rPr>
          <w:rFonts w:ascii="Arial" w:hAnsi="Arial" w:cs="Arial"/>
          <w:sz w:val="28"/>
          <w:szCs w:val="28"/>
          <w:rtl/>
        </w:rPr>
        <w:t xml:space="preserve"> الثابتة والخدمة المتنقلة وخدمة التحديد الراديوي للموقع</w:t>
      </w:r>
      <w:r w:rsidR="00D438F4">
        <w:rPr>
          <w:rFonts w:ascii="Arial" w:hAnsi="Arial" w:cs="Arial" w:hint="cs"/>
          <w:sz w:val="28"/>
          <w:szCs w:val="28"/>
          <w:rtl/>
        </w:rPr>
        <w:t xml:space="preserve">) </w:t>
      </w:r>
      <w:r w:rsidRPr="001969A8">
        <w:rPr>
          <w:rFonts w:ascii="Arial" w:hAnsi="Arial" w:cs="Arial"/>
          <w:sz w:val="28"/>
          <w:szCs w:val="28"/>
          <w:rtl/>
        </w:rPr>
        <w:t xml:space="preserve">وتم تسمية </w:t>
      </w:r>
      <w:r w:rsidR="00D438F4">
        <w:rPr>
          <w:rFonts w:ascii="Arial" w:hAnsi="Arial" w:cs="Arial" w:hint="cs"/>
          <w:sz w:val="28"/>
          <w:szCs w:val="28"/>
          <w:rtl/>
        </w:rPr>
        <w:t>المهندس</w:t>
      </w:r>
      <w:r w:rsidRPr="001969A8">
        <w:rPr>
          <w:rFonts w:ascii="Arial" w:hAnsi="Arial" w:cs="Arial"/>
          <w:sz w:val="28"/>
          <w:szCs w:val="28"/>
          <w:rtl/>
        </w:rPr>
        <w:t xml:space="preserve">/ </w:t>
      </w:r>
      <w:r w:rsidR="00D438F4">
        <w:rPr>
          <w:rFonts w:ascii="Arial" w:hAnsi="Arial" w:cs="Arial" w:hint="cs"/>
          <w:sz w:val="28"/>
          <w:szCs w:val="28"/>
          <w:rtl/>
        </w:rPr>
        <w:t>تامر سيد</w:t>
      </w:r>
      <w:r w:rsidRPr="001969A8">
        <w:rPr>
          <w:rFonts w:ascii="Arial" w:hAnsi="Arial" w:cs="Arial"/>
          <w:sz w:val="28"/>
          <w:szCs w:val="28"/>
          <w:rtl/>
        </w:rPr>
        <w:t xml:space="preserve"> (</w:t>
      </w:r>
      <w:r w:rsidR="002C32A2" w:rsidRPr="001969A8">
        <w:rPr>
          <w:rFonts w:ascii="Arial" w:hAnsi="Arial" w:cs="Arial"/>
          <w:sz w:val="28"/>
          <w:szCs w:val="28"/>
          <w:rtl/>
        </w:rPr>
        <w:t>مصر</w:t>
      </w:r>
      <w:r w:rsidRPr="001969A8">
        <w:rPr>
          <w:rFonts w:ascii="Arial" w:hAnsi="Arial" w:cs="Arial"/>
          <w:sz w:val="28"/>
          <w:szCs w:val="28"/>
          <w:rtl/>
        </w:rPr>
        <w:t xml:space="preserve">) </w:t>
      </w:r>
      <w:r w:rsidR="00EC5C6C" w:rsidRPr="001969A8">
        <w:rPr>
          <w:rFonts w:ascii="Arial" w:hAnsi="Arial" w:cs="Arial"/>
          <w:sz w:val="28"/>
          <w:szCs w:val="28"/>
          <w:rtl/>
        </w:rPr>
        <w:t>لرئاسة</w:t>
      </w:r>
      <w:r w:rsidRPr="001969A8">
        <w:rPr>
          <w:rFonts w:ascii="Arial" w:hAnsi="Arial" w:cs="Arial"/>
          <w:sz w:val="28"/>
          <w:szCs w:val="28"/>
          <w:rtl/>
        </w:rPr>
        <w:t xml:space="preserve"> </w:t>
      </w:r>
      <w:r w:rsidR="00D438F4">
        <w:rPr>
          <w:rFonts w:ascii="Arial" w:hAnsi="Arial" w:cs="Arial" w:hint="cs"/>
          <w:sz w:val="28"/>
          <w:szCs w:val="28"/>
          <w:rtl/>
        </w:rPr>
        <w:t>مجموعة العمل تلك</w:t>
      </w:r>
      <w:r w:rsidR="00EC5C6C" w:rsidRPr="001969A8">
        <w:rPr>
          <w:rFonts w:ascii="Arial" w:hAnsi="Arial" w:cs="Arial"/>
          <w:sz w:val="28"/>
          <w:szCs w:val="28"/>
          <w:rtl/>
        </w:rPr>
        <w:t>.</w:t>
      </w:r>
    </w:p>
    <w:p w14:paraId="7B8951AB" w14:textId="3FEE3552" w:rsidR="00B6465C" w:rsidRPr="001969A8" w:rsidRDefault="00B6465C" w:rsidP="00B6465C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اختصاص مجموعة العمل</w:t>
      </w:r>
      <w:r w:rsidR="006127B5"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D438F4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الثانية</w:t>
      </w: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14:paraId="5E0EF738" w14:textId="77777777" w:rsidR="00CF52B2" w:rsidRPr="001969A8" w:rsidRDefault="00B6465C" w:rsidP="00B6465C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1969A8">
        <w:rPr>
          <w:rFonts w:ascii="Arial" w:hAnsi="Arial" w:cs="Arial" w:hint="cs"/>
          <w:sz w:val="28"/>
          <w:szCs w:val="28"/>
          <w:rtl/>
        </w:rPr>
        <w:t>وتختص هذه المجموعة</w:t>
      </w:r>
      <w:r w:rsidR="00CF52B2" w:rsidRPr="001969A8">
        <w:rPr>
          <w:rFonts w:ascii="Arial" w:hAnsi="Arial" w:cs="Arial" w:hint="cs"/>
          <w:sz w:val="28"/>
          <w:szCs w:val="28"/>
          <w:rtl/>
        </w:rPr>
        <w:t xml:space="preserve"> بما يلي</w:t>
      </w:r>
      <w:r w:rsidR="009B16B6" w:rsidRPr="001969A8">
        <w:rPr>
          <w:rFonts w:ascii="Arial" w:hAnsi="Arial" w:cs="Arial" w:hint="cs"/>
          <w:sz w:val="28"/>
          <w:szCs w:val="28"/>
          <w:rtl/>
        </w:rPr>
        <w:t xml:space="preserve"> فيما يتعلق ببنود جدول أعمال مؤتمر الراديو القادم المسندة إليها</w:t>
      </w:r>
      <w:r w:rsidR="00CF52B2" w:rsidRPr="001969A8">
        <w:rPr>
          <w:rFonts w:ascii="Arial" w:hAnsi="Arial" w:cs="Arial" w:hint="cs"/>
          <w:sz w:val="28"/>
          <w:szCs w:val="28"/>
          <w:rtl/>
        </w:rPr>
        <w:t>:</w:t>
      </w:r>
    </w:p>
    <w:p w14:paraId="7F2F00F9" w14:textId="77777777" w:rsidR="00003F8E" w:rsidRPr="001969A8" w:rsidRDefault="00427C08" w:rsidP="000923C9">
      <w:pPr>
        <w:pStyle w:val="ListParagraph"/>
        <w:numPr>
          <w:ilvl w:val="0"/>
          <w:numId w:val="8"/>
        </w:numPr>
        <w:bidi/>
        <w:jc w:val="both"/>
        <w:rPr>
          <w:rFonts w:ascii="Arial" w:hAnsi="Arial" w:cs="Arial"/>
          <w:sz w:val="28"/>
          <w:szCs w:val="28"/>
          <w:rtl/>
        </w:rPr>
      </w:pPr>
      <w:r w:rsidRPr="001969A8">
        <w:rPr>
          <w:rFonts w:ascii="Arial" w:hAnsi="Arial" w:cs="Arial" w:hint="eastAsia"/>
          <w:sz w:val="28"/>
          <w:szCs w:val="28"/>
          <w:rtl/>
        </w:rPr>
        <w:t>إعداد</w:t>
      </w:r>
      <w:r w:rsidRPr="001969A8">
        <w:rPr>
          <w:rFonts w:ascii="Arial" w:hAnsi="Arial" w:cs="Arial"/>
          <w:sz w:val="28"/>
          <w:szCs w:val="28"/>
          <w:rtl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</w:rPr>
        <w:t>مقترحات</w:t>
      </w:r>
      <w:r w:rsidRPr="001969A8">
        <w:rPr>
          <w:rFonts w:ascii="Arial" w:hAnsi="Arial" w:cs="Arial"/>
          <w:sz w:val="28"/>
          <w:szCs w:val="28"/>
          <w:rtl/>
        </w:rPr>
        <w:t xml:space="preserve"> </w:t>
      </w:r>
      <w:r w:rsidR="00D94184" w:rsidRPr="001969A8">
        <w:rPr>
          <w:rFonts w:ascii="Arial" w:hAnsi="Arial" w:cs="Arial" w:hint="eastAsia"/>
          <w:sz w:val="28"/>
          <w:szCs w:val="28"/>
          <w:rtl/>
        </w:rPr>
        <w:t>بمحاور</w:t>
      </w:r>
      <w:r w:rsidR="00D94184" w:rsidRPr="001969A8">
        <w:rPr>
          <w:rFonts w:ascii="Arial" w:hAnsi="Arial" w:cs="Arial"/>
          <w:sz w:val="28"/>
          <w:szCs w:val="28"/>
          <w:rtl/>
        </w:rPr>
        <w:t xml:space="preserve"> العمل </w:t>
      </w:r>
      <w:r w:rsidR="00D94184" w:rsidRPr="001969A8">
        <w:rPr>
          <w:rFonts w:ascii="Arial" w:hAnsi="Arial" w:cs="Arial" w:hint="eastAsia"/>
          <w:sz w:val="28"/>
          <w:szCs w:val="28"/>
          <w:rtl/>
        </w:rPr>
        <w:t>المقترحة</w:t>
      </w:r>
      <w:r w:rsidR="00D94184" w:rsidRPr="001969A8">
        <w:rPr>
          <w:rFonts w:ascii="Arial" w:hAnsi="Arial" w:cs="Arial"/>
          <w:sz w:val="28"/>
          <w:szCs w:val="28"/>
          <w:rtl/>
        </w:rPr>
        <w:t xml:space="preserve"> </w:t>
      </w:r>
      <w:r w:rsidR="00D94184" w:rsidRPr="001969A8">
        <w:rPr>
          <w:rFonts w:ascii="Arial" w:hAnsi="Arial" w:cs="Arial" w:hint="eastAsia"/>
          <w:sz w:val="28"/>
          <w:szCs w:val="28"/>
          <w:rtl/>
        </w:rPr>
        <w:t>لكل</w:t>
      </w:r>
      <w:r w:rsidR="00D94184" w:rsidRPr="001969A8">
        <w:rPr>
          <w:rFonts w:ascii="Arial" w:hAnsi="Arial" w:cs="Arial"/>
          <w:sz w:val="28"/>
          <w:szCs w:val="28"/>
          <w:rtl/>
        </w:rPr>
        <w:t xml:space="preserve"> </w:t>
      </w:r>
      <w:r w:rsidR="00D94184" w:rsidRPr="001969A8">
        <w:rPr>
          <w:rFonts w:ascii="Arial" w:hAnsi="Arial" w:cs="Arial" w:hint="eastAsia"/>
          <w:sz w:val="28"/>
          <w:szCs w:val="28"/>
          <w:rtl/>
        </w:rPr>
        <w:t>بند</w:t>
      </w:r>
      <w:r w:rsidR="00D94184" w:rsidRPr="001969A8">
        <w:rPr>
          <w:rFonts w:ascii="Arial" w:hAnsi="Arial" w:cs="Arial"/>
          <w:sz w:val="28"/>
          <w:szCs w:val="28"/>
          <w:rtl/>
        </w:rPr>
        <w:t xml:space="preserve"> </w:t>
      </w:r>
      <w:r w:rsidR="00D94184" w:rsidRPr="001969A8">
        <w:rPr>
          <w:rFonts w:ascii="Arial" w:hAnsi="Arial" w:cs="Arial" w:hint="eastAsia"/>
          <w:sz w:val="28"/>
          <w:szCs w:val="28"/>
          <w:rtl/>
        </w:rPr>
        <w:t>و</w:t>
      </w:r>
      <w:r w:rsidR="00003F8E" w:rsidRPr="001969A8">
        <w:rPr>
          <w:rFonts w:ascii="Arial" w:hAnsi="Arial" w:cs="Arial" w:hint="eastAsia"/>
          <w:sz w:val="28"/>
          <w:szCs w:val="28"/>
          <w:rtl/>
        </w:rPr>
        <w:t>تنسيق</w:t>
      </w:r>
      <w:r w:rsidR="00003F8E" w:rsidRPr="001969A8">
        <w:rPr>
          <w:rFonts w:ascii="Arial" w:hAnsi="Arial" w:cs="Arial"/>
          <w:sz w:val="28"/>
          <w:szCs w:val="28"/>
          <w:rtl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</w:rPr>
        <w:t>التوافق</w:t>
      </w:r>
      <w:r w:rsidR="000A7BB9" w:rsidRPr="001969A8">
        <w:rPr>
          <w:rFonts w:ascii="Arial" w:hAnsi="Arial" w:cs="Arial"/>
          <w:sz w:val="28"/>
          <w:szCs w:val="28"/>
          <w:rtl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</w:rPr>
        <w:t>عليها</w:t>
      </w:r>
      <w:r w:rsidR="009B16B6" w:rsidRPr="001969A8">
        <w:rPr>
          <w:rFonts w:ascii="Arial" w:hAnsi="Arial" w:cs="Arial"/>
          <w:sz w:val="28"/>
          <w:szCs w:val="28"/>
          <w:rtl/>
        </w:rPr>
        <w:t xml:space="preserve"> بين الإدارات العربية</w:t>
      </w:r>
      <w:r w:rsidRPr="001969A8">
        <w:rPr>
          <w:rFonts w:ascii="Arial" w:hAnsi="Arial" w:cs="Arial"/>
          <w:sz w:val="28"/>
          <w:szCs w:val="28"/>
          <w:rtl/>
        </w:rPr>
        <w:t>.</w:t>
      </w:r>
    </w:p>
    <w:p w14:paraId="4945444C" w14:textId="77777777" w:rsidR="00CF52B2" w:rsidRPr="001969A8" w:rsidRDefault="008D4650" w:rsidP="000923C9">
      <w:pPr>
        <w:pStyle w:val="ListParagraph"/>
        <w:numPr>
          <w:ilvl w:val="0"/>
          <w:numId w:val="8"/>
        </w:num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تنسيق </w:t>
      </w:r>
      <w:r w:rsidR="00CF52B2" w:rsidRPr="001969A8">
        <w:rPr>
          <w:rFonts w:ascii="Arial" w:hAnsi="Arial" w:cs="Arial" w:hint="eastAsia"/>
          <w:sz w:val="28"/>
          <w:szCs w:val="28"/>
          <w:rtl/>
          <w:lang w:bidi="ar-EG"/>
        </w:rPr>
        <w:t>إعداد</w:t>
      </w:r>
      <w:r w:rsidR="00CF52B2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CF52B2" w:rsidRPr="001969A8">
        <w:rPr>
          <w:rFonts w:ascii="Arial" w:hAnsi="Arial" w:cs="Arial" w:hint="eastAsia"/>
          <w:sz w:val="28"/>
          <w:szCs w:val="28"/>
          <w:rtl/>
          <w:lang w:bidi="ar-EG"/>
        </w:rPr>
        <w:t>المساهمات</w:t>
      </w:r>
      <w:r w:rsidR="00CF52B2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CF52B2" w:rsidRPr="001969A8">
        <w:rPr>
          <w:rFonts w:ascii="Arial" w:hAnsi="Arial" w:cs="Arial" w:hint="eastAsia"/>
          <w:sz w:val="28"/>
          <w:szCs w:val="28"/>
          <w:rtl/>
          <w:lang w:bidi="ar-EG"/>
        </w:rPr>
        <w:t>باسم</w:t>
      </w:r>
      <w:r w:rsidR="00CF52B2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CF52B2" w:rsidRPr="001969A8">
        <w:rPr>
          <w:rFonts w:ascii="Arial" w:hAnsi="Arial" w:cs="Arial" w:hint="eastAsia"/>
          <w:sz w:val="28"/>
          <w:szCs w:val="28"/>
          <w:rtl/>
          <w:lang w:bidi="ar-EG"/>
        </w:rPr>
        <w:t>الإدارات</w:t>
      </w:r>
      <w:r w:rsidR="00CF52B2" w:rsidRPr="001969A8">
        <w:rPr>
          <w:rFonts w:ascii="Arial" w:hAnsi="Arial" w:cs="Arial"/>
          <w:sz w:val="28"/>
          <w:szCs w:val="28"/>
          <w:rtl/>
          <w:lang w:bidi="ar-EG"/>
        </w:rPr>
        <w:t xml:space="preserve"> العربية الموجهة إلى فرق عمل قطاع الراديو بالاتحاد الدولي للاتصالات</w:t>
      </w:r>
      <w:r w:rsidR="009B16B6" w:rsidRPr="001969A8">
        <w:rPr>
          <w:rFonts w:ascii="Arial" w:hAnsi="Arial" w:cs="Arial"/>
          <w:sz w:val="28"/>
          <w:szCs w:val="28"/>
          <w:rtl/>
          <w:lang w:bidi="ar-EG"/>
        </w:rPr>
        <w:t xml:space="preserve"> وتنسيق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انضمام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الدول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العربية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لهذه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المساهمات</w:t>
      </w:r>
      <w:r w:rsidR="00003F8E" w:rsidRPr="001969A8">
        <w:rPr>
          <w:rFonts w:ascii="Arial" w:hAnsi="Arial" w:cs="Arial"/>
          <w:sz w:val="28"/>
          <w:szCs w:val="28"/>
          <w:rtl/>
          <w:lang w:bidi="ar-EG"/>
        </w:rPr>
        <w:t>.</w:t>
      </w:r>
    </w:p>
    <w:p w14:paraId="0159EA8F" w14:textId="77777777" w:rsidR="00CF52B2" w:rsidRPr="001969A8" w:rsidRDefault="00CF52B2" w:rsidP="000923C9">
      <w:pPr>
        <w:pStyle w:val="ListParagraph"/>
        <w:numPr>
          <w:ilvl w:val="0"/>
          <w:numId w:val="8"/>
        </w:numPr>
        <w:bidi/>
        <w:jc w:val="both"/>
        <w:rPr>
          <w:rFonts w:ascii="Arial" w:hAnsi="Arial" w:cs="Arial"/>
          <w:sz w:val="28"/>
          <w:szCs w:val="28"/>
          <w:rtl/>
        </w:rPr>
      </w:pP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إعداد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تقارير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حول</w:t>
      </w:r>
      <w:r w:rsidR="00427C08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أعمال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المجموعة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وتطورات أعمال البنود المسندة إليها ع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لى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المستوى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="000A7BB9" w:rsidRPr="001969A8">
        <w:rPr>
          <w:rFonts w:ascii="Arial" w:hAnsi="Arial" w:cs="Arial" w:hint="eastAsia"/>
          <w:sz w:val="28"/>
          <w:szCs w:val="28"/>
          <w:rtl/>
          <w:lang w:bidi="ar-EG"/>
        </w:rPr>
        <w:t>الدولي</w:t>
      </w:r>
      <w:r w:rsidR="002912CE" w:rsidRPr="001969A8">
        <w:rPr>
          <w:rFonts w:ascii="Arial" w:hAnsi="Arial" w:cs="Arial"/>
          <w:sz w:val="28"/>
          <w:szCs w:val="28"/>
          <w:rtl/>
        </w:rPr>
        <w:t xml:space="preserve"> ورفع هذه التقارير إلى فريق العمل العربي</w:t>
      </w:r>
      <w:r w:rsidR="000A7BB9" w:rsidRPr="001969A8">
        <w:rPr>
          <w:rFonts w:ascii="Arial" w:hAnsi="Arial" w:cs="Arial"/>
          <w:sz w:val="28"/>
          <w:szCs w:val="28"/>
          <w:rtl/>
          <w:lang w:bidi="ar-EG"/>
        </w:rPr>
        <w:t>.</w:t>
      </w:r>
    </w:p>
    <w:p w14:paraId="21B57344" w14:textId="74841045" w:rsidR="00B77EAE" w:rsidRPr="00B77EAE" w:rsidRDefault="008D4650" w:rsidP="00B77EAE">
      <w:pPr>
        <w:bidi/>
        <w:rPr>
          <w:rFonts w:asciiTheme="minorBidi" w:hAnsiTheme="minorBidi"/>
          <w:sz w:val="28"/>
          <w:szCs w:val="28"/>
          <w:rtl/>
          <w:lang w:bidi="ar-EG"/>
        </w:rPr>
      </w:pPr>
      <w:r w:rsidRPr="001969A8">
        <w:rPr>
          <w:rFonts w:ascii="Arial" w:hAnsi="Arial" w:cs="Arial" w:hint="cs"/>
          <w:sz w:val="28"/>
          <w:szCs w:val="28"/>
          <w:rtl/>
        </w:rPr>
        <w:t xml:space="preserve">وفيما يلي </w:t>
      </w:r>
      <w:r w:rsidR="00B6465C" w:rsidRPr="001969A8">
        <w:rPr>
          <w:rFonts w:ascii="Arial" w:hAnsi="Arial" w:cs="Arial" w:hint="cs"/>
          <w:sz w:val="28"/>
          <w:szCs w:val="28"/>
          <w:rtl/>
        </w:rPr>
        <w:t xml:space="preserve">بنود جدول أعمال مؤتمر الراديو القادم </w:t>
      </w:r>
      <w:r w:rsidR="00B6465C" w:rsidRPr="001969A8">
        <w:rPr>
          <w:rFonts w:ascii="Arial" w:hAnsi="Arial" w:cs="Arial"/>
          <w:sz w:val="28"/>
          <w:szCs w:val="28"/>
        </w:rPr>
        <w:t>WRC-</w:t>
      </w:r>
      <w:r w:rsidR="00D438F4">
        <w:rPr>
          <w:rFonts w:ascii="Arial" w:hAnsi="Arial" w:cs="Arial"/>
          <w:sz w:val="28"/>
          <w:szCs w:val="28"/>
        </w:rPr>
        <w:t>27</w:t>
      </w:r>
      <w:r w:rsidR="00003F8E"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التي تقع ضمن اخ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ت</w:t>
      </w:r>
      <w:r w:rsidR="00003F8E" w:rsidRPr="001969A8">
        <w:rPr>
          <w:rFonts w:ascii="Arial" w:hAnsi="Arial" w:cs="Arial" w:hint="cs"/>
          <w:sz w:val="28"/>
          <w:szCs w:val="28"/>
          <w:rtl/>
          <w:lang w:bidi="ar-EG"/>
        </w:rPr>
        <w:t>صاص مجموعة العمل الأولى:</w:t>
      </w:r>
      <w:r w:rsidR="00B77EAE" w:rsidRPr="00B77EAE">
        <w:rPr>
          <w:rtl/>
          <w:lang w:bidi="ar-EG"/>
        </w:rPr>
        <w:t xml:space="preserve"> </w:t>
      </w:r>
    </w:p>
    <w:p w14:paraId="4913BC6A" w14:textId="77777777" w:rsidR="00B77EAE" w:rsidRPr="00785C21" w:rsidRDefault="00B77EAE" w:rsidP="00B77EAE">
      <w:pPr>
        <w:bidi/>
        <w:rPr>
          <w:rFonts w:asciiTheme="minorBidi" w:hAnsiTheme="minorBidi"/>
          <w:sz w:val="28"/>
          <w:szCs w:val="28"/>
          <w:rtl/>
          <w:lang w:bidi="ar-EG"/>
        </w:rPr>
      </w:pPr>
      <w:r w:rsidRPr="00B77EAE">
        <w:rPr>
          <w:rFonts w:asciiTheme="minorBidi" w:hAnsiTheme="minorBidi"/>
          <w:sz w:val="28"/>
          <w:szCs w:val="28"/>
        </w:rPr>
        <w:t>7.1</w:t>
      </w:r>
      <w:r w:rsidRPr="00B77EAE">
        <w:rPr>
          <w:rFonts w:asciiTheme="minorBidi" w:hAnsiTheme="minorBidi"/>
          <w:sz w:val="28"/>
          <w:szCs w:val="28"/>
        </w:rPr>
        <w:tab/>
      </w:r>
      <w:r w:rsidRPr="00B77EAE">
        <w:rPr>
          <w:rFonts w:asciiTheme="minorBidi" w:hAnsiTheme="minorBidi"/>
          <w:sz w:val="28"/>
          <w:szCs w:val="28"/>
          <w:rtl/>
        </w:rPr>
        <w:t>إجراء دراسات التقاسم والتوافق وتحديد الشروط التقنية لاستخدام الاتصالات المتنقلة الدولية في نطاقي التردد </w:t>
      </w:r>
      <w:r w:rsidRPr="00B77EAE">
        <w:rPr>
          <w:rFonts w:asciiTheme="minorBidi" w:hAnsiTheme="minorBidi"/>
          <w:sz w:val="28"/>
          <w:szCs w:val="28"/>
        </w:rPr>
        <w:t>MHz 4 800-4 400</w:t>
      </w:r>
      <w:r w:rsidRPr="00B77EAE">
        <w:rPr>
          <w:rFonts w:asciiTheme="minorBidi" w:hAnsiTheme="minorBidi"/>
          <w:sz w:val="28"/>
          <w:szCs w:val="28"/>
          <w:rtl/>
          <w:lang w:bidi="ar-EG"/>
        </w:rPr>
        <w:t xml:space="preserve"> و</w:t>
      </w:r>
      <w:r w:rsidRPr="00B77EAE">
        <w:rPr>
          <w:rFonts w:asciiTheme="minorBidi" w:hAnsiTheme="minorBidi"/>
          <w:sz w:val="28"/>
          <w:szCs w:val="28"/>
          <w:lang w:bidi="ar-EG"/>
        </w:rPr>
        <w:t>MHz 8 400-7 125</w:t>
      </w:r>
      <w:r w:rsidRPr="00B77EAE">
        <w:rPr>
          <w:rFonts w:asciiTheme="minorBidi" w:hAnsiTheme="minorBidi"/>
          <w:sz w:val="28"/>
          <w:szCs w:val="28"/>
          <w:rtl/>
          <w:lang w:bidi="ar-EG"/>
        </w:rPr>
        <w:t xml:space="preserve"> (أو في أجزاء </w:t>
      </w:r>
      <w:proofErr w:type="gramStart"/>
      <w:r w:rsidRPr="00B77EAE">
        <w:rPr>
          <w:rFonts w:asciiTheme="minorBidi" w:hAnsiTheme="minorBidi"/>
          <w:sz w:val="28"/>
          <w:szCs w:val="28"/>
          <w:rtl/>
          <w:lang w:bidi="ar-EG"/>
        </w:rPr>
        <w:t>منهما)،</w:t>
      </w:r>
      <w:proofErr w:type="gramEnd"/>
      <w:r w:rsidRPr="00B77EAE">
        <w:rPr>
          <w:rFonts w:asciiTheme="minorBidi" w:hAnsiTheme="minorBidi"/>
          <w:sz w:val="28"/>
          <w:szCs w:val="28"/>
          <w:rtl/>
          <w:lang w:bidi="ar-EG"/>
        </w:rPr>
        <w:t xml:space="preserve"> ونطاق التردد </w:t>
      </w:r>
      <w:r w:rsidRPr="00785C21">
        <w:rPr>
          <w:rFonts w:asciiTheme="minorBidi" w:hAnsiTheme="minorBidi"/>
          <w:sz w:val="28"/>
          <w:szCs w:val="28"/>
          <w:lang w:bidi="ar-EG"/>
        </w:rPr>
        <w:t>GHz 15,35-14,8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، مع مراعاة الخدمات الأولية القائمة العاملة في نطاقات التردد هذه وفي النطاقات المجاورة، </w:t>
      </w:r>
      <w:r w:rsidRPr="00785C21">
        <w:rPr>
          <w:rFonts w:asciiTheme="minorBidi" w:hAnsiTheme="minorBidi"/>
          <w:sz w:val="28"/>
          <w:szCs w:val="28"/>
          <w:rtl/>
        </w:rPr>
        <w:t xml:space="preserve">وفقاً للقرار </w:t>
      </w:r>
      <w:r w:rsidRPr="00785C21">
        <w:rPr>
          <w:rFonts w:asciiTheme="minorBidi" w:hAnsiTheme="minorBidi"/>
          <w:sz w:val="28"/>
          <w:szCs w:val="28"/>
        </w:rPr>
        <w:t>256 (WRC</w:t>
      </w:r>
      <w:r w:rsidRPr="00785C21">
        <w:rPr>
          <w:rFonts w:asciiTheme="minorBidi" w:hAnsiTheme="minorBidi"/>
          <w:sz w:val="28"/>
          <w:szCs w:val="28"/>
        </w:rPr>
        <w:noBreakHyphen/>
        <w:t>23)</w:t>
      </w:r>
      <w:r w:rsidRPr="00785C21">
        <w:rPr>
          <w:rFonts w:asciiTheme="minorBidi" w:hAnsiTheme="minorBidi"/>
          <w:sz w:val="28"/>
          <w:szCs w:val="28"/>
          <w:rtl/>
          <w:lang w:bidi="ar-SY"/>
        </w:rPr>
        <w:t>؛</w:t>
      </w:r>
    </w:p>
    <w:p w14:paraId="152FF7A4" w14:textId="77777777" w:rsidR="00B77EAE" w:rsidRPr="00785C21" w:rsidRDefault="00B77EAE" w:rsidP="00B77EAE">
      <w:pPr>
        <w:bidi/>
        <w:rPr>
          <w:rFonts w:asciiTheme="minorBidi" w:hAnsiTheme="minorBidi"/>
          <w:sz w:val="28"/>
          <w:szCs w:val="28"/>
          <w:rtl/>
          <w:lang w:bidi="ar-EG"/>
        </w:rPr>
      </w:pPr>
      <w:r w:rsidRPr="00785C21">
        <w:rPr>
          <w:rFonts w:asciiTheme="minorBidi" w:hAnsiTheme="minorBidi"/>
          <w:sz w:val="28"/>
          <w:szCs w:val="28"/>
        </w:rPr>
        <w:t>8.1</w:t>
      </w:r>
      <w:r w:rsidRPr="00785C21">
        <w:rPr>
          <w:rFonts w:asciiTheme="minorBidi" w:hAnsiTheme="minorBidi"/>
          <w:sz w:val="28"/>
          <w:szCs w:val="28"/>
        </w:rPr>
        <w:tab/>
      </w:r>
      <w:r w:rsidRPr="00785C21">
        <w:rPr>
          <w:rFonts w:asciiTheme="minorBidi" w:hAnsiTheme="minorBidi"/>
          <w:sz w:val="28"/>
          <w:szCs w:val="28"/>
          <w:rtl/>
        </w:rPr>
        <w:t xml:space="preserve">النظر في إمكانية منح توزيعات إضافية من الطيف لخدمة التحديد الراديوي للموقع على أساس أولي في مدى الترددات </w:t>
      </w:r>
      <w:r w:rsidRPr="00785C21">
        <w:rPr>
          <w:rFonts w:asciiTheme="minorBidi" w:hAnsiTheme="minorBidi"/>
          <w:sz w:val="28"/>
          <w:szCs w:val="28"/>
        </w:rPr>
        <w:t>GHz 275-231,5</w:t>
      </w:r>
      <w:r w:rsidRPr="00785C21">
        <w:rPr>
          <w:rFonts w:asciiTheme="minorBidi" w:hAnsiTheme="minorBidi"/>
          <w:sz w:val="28"/>
          <w:szCs w:val="28"/>
          <w:rtl/>
        </w:rPr>
        <w:t xml:space="preserve"> مع إمكانية تحديد جديد لتطبيقات التحديد الراديوي للموقع في نطاقات ترددات ضمن مدى الترددات </w:t>
      </w:r>
      <w:r w:rsidRPr="00785C21">
        <w:rPr>
          <w:rFonts w:asciiTheme="minorBidi" w:hAnsiTheme="minorBidi"/>
          <w:sz w:val="28"/>
          <w:szCs w:val="28"/>
        </w:rPr>
        <w:t>GHz 700-275</w:t>
      </w:r>
      <w:r w:rsidRPr="00785C21">
        <w:rPr>
          <w:rFonts w:asciiTheme="minorBidi" w:hAnsiTheme="minorBidi"/>
          <w:sz w:val="28"/>
          <w:szCs w:val="28"/>
          <w:rtl/>
        </w:rPr>
        <w:t xml:space="preserve"> من أجل أنظمة التصوير بالموجات </w:t>
      </w:r>
      <w:proofErr w:type="spellStart"/>
      <w:r w:rsidRPr="00785C21">
        <w:rPr>
          <w:rFonts w:asciiTheme="minorBidi" w:hAnsiTheme="minorBidi"/>
          <w:sz w:val="28"/>
          <w:szCs w:val="28"/>
          <w:rtl/>
        </w:rPr>
        <w:t>المليمترية</w:t>
      </w:r>
      <w:proofErr w:type="spellEnd"/>
      <w:r w:rsidRPr="00785C21">
        <w:rPr>
          <w:rFonts w:asciiTheme="minorBidi" w:hAnsiTheme="minorBidi"/>
          <w:sz w:val="28"/>
          <w:szCs w:val="28"/>
          <w:rtl/>
        </w:rPr>
        <w:t xml:space="preserve"> ودون </w:t>
      </w:r>
      <w:proofErr w:type="spellStart"/>
      <w:r w:rsidRPr="00785C21">
        <w:rPr>
          <w:rFonts w:asciiTheme="minorBidi" w:hAnsiTheme="minorBidi"/>
          <w:sz w:val="28"/>
          <w:szCs w:val="28"/>
          <w:rtl/>
        </w:rPr>
        <w:t>المليمترية</w:t>
      </w:r>
      <w:proofErr w:type="spellEnd"/>
      <w:r w:rsidRPr="00785C21">
        <w:rPr>
          <w:rFonts w:asciiTheme="minorBidi" w:hAnsiTheme="minorBidi"/>
          <w:sz w:val="28"/>
          <w:szCs w:val="28"/>
          <w:rtl/>
        </w:rPr>
        <w:t>، وفقاً للقرار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Pr="00785C21">
        <w:rPr>
          <w:rFonts w:asciiTheme="minorBidi" w:hAnsiTheme="minorBidi"/>
          <w:sz w:val="28"/>
          <w:szCs w:val="28"/>
        </w:rPr>
        <w:t>663 (Rev.WRC</w:t>
      </w:r>
      <w:r w:rsidRPr="00785C21">
        <w:rPr>
          <w:rFonts w:asciiTheme="minorBidi" w:hAnsiTheme="minorBidi"/>
          <w:sz w:val="28"/>
          <w:szCs w:val="28"/>
        </w:rPr>
        <w:noBreakHyphen/>
      </w:r>
      <w:proofErr w:type="gramStart"/>
      <w:r w:rsidRPr="00785C21">
        <w:rPr>
          <w:rFonts w:asciiTheme="minorBidi" w:hAnsiTheme="minorBidi"/>
          <w:sz w:val="28"/>
          <w:szCs w:val="28"/>
        </w:rPr>
        <w:t>23)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>؛</w:t>
      </w:r>
      <w:proofErr w:type="gramEnd"/>
    </w:p>
    <w:p w14:paraId="6C3C0CD7" w14:textId="77777777" w:rsidR="00B77EAE" w:rsidRPr="00785C21" w:rsidRDefault="00B77EAE" w:rsidP="00B77EAE">
      <w:pPr>
        <w:bidi/>
        <w:rPr>
          <w:rFonts w:asciiTheme="minorBidi" w:hAnsiTheme="minorBidi"/>
          <w:sz w:val="28"/>
          <w:szCs w:val="28"/>
        </w:rPr>
      </w:pPr>
      <w:r w:rsidRPr="00785C21">
        <w:rPr>
          <w:rFonts w:asciiTheme="minorBidi" w:hAnsiTheme="minorBidi"/>
          <w:sz w:val="28"/>
          <w:szCs w:val="28"/>
        </w:rPr>
        <w:t>9.1</w:t>
      </w:r>
      <w:r w:rsidRPr="00785C21">
        <w:rPr>
          <w:rFonts w:asciiTheme="minorBidi" w:hAnsiTheme="minorBidi"/>
          <w:sz w:val="28"/>
          <w:szCs w:val="28"/>
        </w:rPr>
        <w:tab/>
      </w:r>
      <w:r w:rsidRPr="00785C21">
        <w:rPr>
          <w:rFonts w:asciiTheme="minorBidi" w:hAnsiTheme="minorBidi"/>
          <w:sz w:val="28"/>
          <w:szCs w:val="28"/>
          <w:rtl/>
        </w:rPr>
        <w:t xml:space="preserve">النظر في الإجراءات التنظيمية المناسبة لتحديث التذييل 26 للوائح الراديو دعماً لتحديث أنظمة الاتصالات المتنقلة للطيران </w:t>
      </w:r>
      <w:r w:rsidRPr="00785C21">
        <w:rPr>
          <w:rFonts w:asciiTheme="minorBidi" w:hAnsiTheme="minorBidi"/>
          <w:sz w:val="28"/>
          <w:szCs w:val="28"/>
        </w:rPr>
        <w:t>(OR)</w:t>
      </w:r>
      <w:r w:rsidRPr="00785C21">
        <w:rPr>
          <w:rFonts w:asciiTheme="minorBidi" w:hAnsiTheme="minorBidi"/>
          <w:sz w:val="28"/>
          <w:szCs w:val="28"/>
          <w:rtl/>
        </w:rPr>
        <w:t xml:space="preserve"> على الموجات </w:t>
      </w:r>
      <w:proofErr w:type="spellStart"/>
      <w:r w:rsidRPr="00785C21">
        <w:rPr>
          <w:rFonts w:asciiTheme="minorBidi" w:hAnsiTheme="minorBidi"/>
          <w:sz w:val="28"/>
          <w:szCs w:val="28"/>
          <w:rtl/>
        </w:rPr>
        <w:t>الديكامترية</w:t>
      </w:r>
      <w:proofErr w:type="spellEnd"/>
      <w:r w:rsidRPr="00785C21">
        <w:rPr>
          <w:rFonts w:asciiTheme="minorBidi" w:hAnsiTheme="minorBidi"/>
          <w:sz w:val="28"/>
          <w:szCs w:val="28"/>
          <w:rtl/>
        </w:rPr>
        <w:t xml:space="preserve"> </w:t>
      </w:r>
      <w:r w:rsidRPr="00785C21">
        <w:rPr>
          <w:rFonts w:asciiTheme="minorBidi" w:hAnsiTheme="minorBidi"/>
          <w:sz w:val="28"/>
          <w:szCs w:val="28"/>
        </w:rPr>
        <w:t>(HF)</w:t>
      </w:r>
      <w:r w:rsidRPr="00785C21">
        <w:rPr>
          <w:rFonts w:asciiTheme="minorBidi" w:hAnsiTheme="minorBidi"/>
          <w:sz w:val="28"/>
          <w:szCs w:val="28"/>
          <w:rtl/>
        </w:rPr>
        <w:t xml:space="preserve">، وفقاً للقرار </w:t>
      </w:r>
      <w:r w:rsidRPr="00785C21">
        <w:rPr>
          <w:rFonts w:asciiTheme="minorBidi" w:hAnsiTheme="minorBidi"/>
          <w:sz w:val="28"/>
          <w:szCs w:val="28"/>
        </w:rPr>
        <w:t>411 (WRC</w:t>
      </w:r>
      <w:r w:rsidRPr="00785C21">
        <w:rPr>
          <w:rFonts w:asciiTheme="minorBidi" w:hAnsiTheme="minorBidi"/>
          <w:sz w:val="28"/>
          <w:szCs w:val="28"/>
        </w:rPr>
        <w:noBreakHyphen/>
      </w:r>
      <w:proofErr w:type="gramStart"/>
      <w:r w:rsidRPr="00785C21">
        <w:rPr>
          <w:rFonts w:asciiTheme="minorBidi" w:hAnsiTheme="minorBidi"/>
          <w:sz w:val="28"/>
          <w:szCs w:val="28"/>
        </w:rPr>
        <w:t>23)</w:t>
      </w:r>
      <w:r w:rsidRPr="00785C21">
        <w:rPr>
          <w:rFonts w:asciiTheme="minorBidi" w:hAnsiTheme="minorBidi"/>
          <w:sz w:val="28"/>
          <w:szCs w:val="28"/>
          <w:rtl/>
        </w:rPr>
        <w:t>؛</w:t>
      </w:r>
      <w:proofErr w:type="gramEnd"/>
    </w:p>
    <w:p w14:paraId="1DD792D9" w14:textId="1D32AFA0" w:rsidR="004817B5" w:rsidRPr="00785C21" w:rsidRDefault="00B77EAE" w:rsidP="00785C21">
      <w:pPr>
        <w:bidi/>
        <w:jc w:val="both"/>
        <w:rPr>
          <w:rFonts w:ascii="Arial" w:hAnsi="Arial" w:cs="Arial"/>
          <w:sz w:val="28"/>
          <w:szCs w:val="28"/>
          <w:rtl/>
        </w:rPr>
      </w:pPr>
      <w:r w:rsidRPr="00785C21">
        <w:rPr>
          <w:rFonts w:asciiTheme="minorBidi" w:hAnsiTheme="minorBidi"/>
          <w:sz w:val="28"/>
          <w:szCs w:val="28"/>
        </w:rPr>
        <w:lastRenderedPageBreak/>
        <w:t>10.1</w:t>
      </w:r>
      <w:r w:rsidRPr="00785C21">
        <w:rPr>
          <w:rFonts w:asciiTheme="minorBidi" w:hAnsiTheme="minorBidi"/>
          <w:sz w:val="28"/>
          <w:szCs w:val="28"/>
        </w:rPr>
        <w:tab/>
      </w:r>
      <w:r w:rsidRPr="00785C21">
        <w:rPr>
          <w:rFonts w:asciiTheme="minorBidi" w:hAnsiTheme="minorBidi"/>
          <w:sz w:val="28"/>
          <w:szCs w:val="28"/>
          <w:rtl/>
        </w:rPr>
        <w:t xml:space="preserve">النظر في وضع حدود لكثافة تدفق القدرة </w:t>
      </w:r>
      <w:r w:rsidRPr="00785C21">
        <w:rPr>
          <w:rFonts w:asciiTheme="minorBidi" w:hAnsiTheme="minorBidi"/>
          <w:sz w:val="28"/>
          <w:szCs w:val="28"/>
        </w:rPr>
        <w:t>(</w:t>
      </w:r>
      <w:proofErr w:type="spellStart"/>
      <w:r w:rsidRPr="00785C21">
        <w:rPr>
          <w:rFonts w:asciiTheme="minorBidi" w:hAnsiTheme="minorBidi"/>
          <w:sz w:val="28"/>
          <w:szCs w:val="28"/>
          <w:lang w:val="en-GB"/>
        </w:rPr>
        <w:t>pfd</w:t>
      </w:r>
      <w:proofErr w:type="spellEnd"/>
      <w:r w:rsidRPr="00785C21">
        <w:rPr>
          <w:rFonts w:asciiTheme="minorBidi" w:hAnsiTheme="minorBidi"/>
          <w:sz w:val="28"/>
          <w:szCs w:val="28"/>
          <w:lang w:val="en-GB"/>
        </w:rPr>
        <w:t>)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 والقدرة المشعة المكافئة المتناحية </w:t>
      </w:r>
      <w:r w:rsidRPr="00785C21">
        <w:rPr>
          <w:rFonts w:asciiTheme="minorBidi" w:hAnsiTheme="minorBidi"/>
          <w:sz w:val="28"/>
          <w:szCs w:val="28"/>
          <w:lang w:val="en-GB"/>
        </w:rPr>
        <w:t>(</w:t>
      </w:r>
      <w:proofErr w:type="spellStart"/>
      <w:r w:rsidRPr="00785C21">
        <w:rPr>
          <w:rFonts w:asciiTheme="minorBidi" w:hAnsiTheme="minorBidi"/>
          <w:sz w:val="28"/>
          <w:szCs w:val="28"/>
        </w:rPr>
        <w:t>e.i.r.p</w:t>
      </w:r>
      <w:proofErr w:type="spellEnd"/>
      <w:r w:rsidRPr="00785C21">
        <w:rPr>
          <w:rFonts w:asciiTheme="minorBidi" w:hAnsiTheme="minorBidi"/>
          <w:sz w:val="28"/>
          <w:szCs w:val="28"/>
        </w:rPr>
        <w:t>.</w:t>
      </w:r>
      <w:r w:rsidRPr="00785C21">
        <w:rPr>
          <w:rFonts w:asciiTheme="minorBidi" w:hAnsiTheme="minorBidi"/>
          <w:sz w:val="28"/>
          <w:szCs w:val="28"/>
          <w:lang w:val="en-GB"/>
        </w:rPr>
        <w:t>)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 للخدمة الثابتة الساتلية والخدمة المتنقلة الساتلية والخدمة الإذاعية الساتلية لإدراجها</w:t>
      </w:r>
      <w:r w:rsidRPr="00785C21">
        <w:rPr>
          <w:rFonts w:asciiTheme="minorBidi" w:hAnsiTheme="minorBidi"/>
          <w:sz w:val="28"/>
          <w:szCs w:val="28"/>
        </w:rPr>
        <w:t xml:space="preserve"> 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في المادة </w:t>
      </w:r>
      <w:r w:rsidRPr="00785C21">
        <w:rPr>
          <w:rFonts w:asciiTheme="minorBidi" w:hAnsiTheme="minorBidi"/>
          <w:sz w:val="28"/>
          <w:szCs w:val="28"/>
        </w:rPr>
        <w:t>21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 </w:t>
      </w:r>
      <w:r w:rsidRPr="00785C21">
        <w:rPr>
          <w:rFonts w:asciiTheme="minorBidi" w:hAnsiTheme="minorBidi"/>
          <w:sz w:val="28"/>
          <w:szCs w:val="28"/>
          <w:rtl/>
          <w:lang w:bidi="ar-SY"/>
        </w:rPr>
        <w:t>من لوائح الراديو</w:t>
      </w:r>
      <w:r w:rsidRPr="00785C21">
        <w:rPr>
          <w:rFonts w:asciiTheme="minorBidi" w:hAnsiTheme="minorBidi"/>
          <w:sz w:val="28"/>
          <w:szCs w:val="28"/>
          <w:rtl/>
        </w:rPr>
        <w:t xml:space="preserve"> من أجل 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>حماية الخدمتين الثابتة والمتنقلة في نطاقي التردد </w:t>
      </w:r>
      <w:r w:rsidRPr="00785C21">
        <w:rPr>
          <w:rFonts w:asciiTheme="minorBidi" w:hAnsiTheme="minorBidi"/>
          <w:sz w:val="28"/>
          <w:szCs w:val="28"/>
          <w:lang w:val="en-GB"/>
        </w:rPr>
        <w:t>GHz 76-71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 و</w:t>
      </w:r>
      <w:r w:rsidRPr="00785C21">
        <w:rPr>
          <w:rFonts w:asciiTheme="minorBidi" w:hAnsiTheme="minorBidi"/>
          <w:sz w:val="28"/>
          <w:szCs w:val="28"/>
          <w:lang w:val="en-GB"/>
        </w:rPr>
        <w:t>GHz 86-81</w:t>
      </w:r>
      <w:r w:rsidRPr="00785C21">
        <w:rPr>
          <w:rFonts w:asciiTheme="minorBidi" w:hAnsiTheme="minorBidi"/>
          <w:sz w:val="28"/>
          <w:szCs w:val="28"/>
          <w:rtl/>
          <w:lang w:bidi="ar-EG"/>
        </w:rPr>
        <w:t xml:space="preserve">، وفقاً للقرار </w:t>
      </w:r>
      <w:r w:rsidRPr="00785C21">
        <w:rPr>
          <w:rFonts w:asciiTheme="minorBidi" w:hAnsiTheme="minorBidi"/>
          <w:sz w:val="28"/>
          <w:szCs w:val="28"/>
          <w:lang w:val="en-GB"/>
        </w:rPr>
        <w:t>775 (Rev.WRC-</w:t>
      </w:r>
      <w:proofErr w:type="gramStart"/>
      <w:r w:rsidRPr="00785C21">
        <w:rPr>
          <w:rFonts w:asciiTheme="minorBidi" w:hAnsiTheme="minorBidi"/>
          <w:sz w:val="28"/>
          <w:szCs w:val="28"/>
          <w:lang w:val="en-GB"/>
        </w:rPr>
        <w:t>23)</w:t>
      </w:r>
      <w:r w:rsidRPr="00785C21">
        <w:rPr>
          <w:rFonts w:asciiTheme="minorBidi" w:hAnsiTheme="minorBidi"/>
          <w:sz w:val="28"/>
          <w:szCs w:val="28"/>
          <w:rtl/>
        </w:rPr>
        <w:t>؛</w:t>
      </w:r>
      <w:proofErr w:type="gramEnd"/>
    </w:p>
    <w:p w14:paraId="72295E07" w14:textId="027DE169" w:rsidR="00B13DB0" w:rsidRPr="001969A8" w:rsidRDefault="00B13DB0" w:rsidP="00C56AE4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هيكل مجموعة العمل</w:t>
      </w:r>
      <w:r w:rsidR="006127B5"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B77EAE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الثانية</w:t>
      </w: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tbl>
      <w:tblPr>
        <w:tblStyle w:val="TableGrid"/>
        <w:tblW w:w="11252" w:type="dxa"/>
        <w:jc w:val="center"/>
        <w:tblLayout w:type="fixed"/>
        <w:tblLook w:val="04A0" w:firstRow="1" w:lastRow="0" w:firstColumn="1" w:lastColumn="0" w:noHBand="0" w:noVBand="1"/>
      </w:tblPr>
      <w:tblGrid>
        <w:gridCol w:w="3127"/>
        <w:gridCol w:w="2250"/>
        <w:gridCol w:w="2430"/>
        <w:gridCol w:w="1800"/>
        <w:gridCol w:w="1645"/>
      </w:tblGrid>
      <w:tr w:rsidR="008A1C06" w:rsidRPr="001969A8" w14:paraId="1EBF0F9A" w14:textId="77777777" w:rsidTr="00224128">
        <w:trPr>
          <w:trHeight w:val="25"/>
          <w:jc w:val="center"/>
        </w:trPr>
        <w:tc>
          <w:tcPr>
            <w:tcW w:w="3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093285" w14:textId="44D037A6" w:rsidR="008A1C06" w:rsidRPr="001969A8" w:rsidRDefault="00224128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فرق</w:t>
            </w:r>
            <w:r w:rsidR="008A1C06" w:rsidRPr="001969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العمل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المسؤولة </w:t>
            </w:r>
            <w:r w:rsidR="008A1C06" w:rsidRPr="001969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بالاتحاد الدولي للاتصالات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348E7D" w14:textId="77777777" w:rsidR="008A1C06" w:rsidRDefault="008A1C06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نقاط التواصل</w:t>
            </w:r>
          </w:p>
          <w:p w14:paraId="34CC2EBF" w14:textId="44B3F7D8" w:rsidR="004A038F" w:rsidRDefault="004A038F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ميل /واتساب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3C15534" w14:textId="4A4E3175" w:rsidR="008A1C06" w:rsidRDefault="008A1C06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منسق البند والفريق المعاون</w:t>
            </w:r>
          </w:p>
          <w:p w14:paraId="53E3FB72" w14:textId="4333B61E" w:rsidR="008A1C06" w:rsidRPr="001969A8" w:rsidRDefault="008A1C06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</w:pPr>
            <w:r>
              <w:rPr>
                <w:rFonts w:ascii="Calibri" w:eastAsia="Times New Roman" w:hAnsi="Calibri" w:cs="Traditional Arabic" w:hint="cs"/>
                <w:position w:val="2"/>
                <w:sz w:val="28"/>
                <w:szCs w:val="28"/>
                <w:rtl/>
                <w:lang w:val="es-ES"/>
              </w:rPr>
              <w:t>(يتم استقبال وتحديد الأسماء خلال أسبوعين</w:t>
            </w:r>
            <w:r w:rsidR="00224128">
              <w:rPr>
                <w:rFonts w:ascii="Calibri" w:eastAsia="Times New Roman" w:hAnsi="Calibri" w:cs="Traditional Arabic" w:hint="cs"/>
                <w:position w:val="2"/>
                <w:sz w:val="28"/>
                <w:szCs w:val="28"/>
                <w:rtl/>
                <w:lang w:val="es-ES"/>
              </w:rPr>
              <w:t xml:space="preserve"> على الأكثر</w:t>
            </w:r>
            <w:r>
              <w:rPr>
                <w:rFonts w:ascii="Calibri" w:eastAsia="Times New Roman" w:hAnsi="Calibri" w:cs="Traditional Arabic" w:hint="cs"/>
                <w:position w:val="2"/>
                <w:sz w:val="28"/>
                <w:szCs w:val="28"/>
                <w:rtl/>
                <w:lang w:val="es-ES"/>
              </w:rPr>
              <w:t>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322A2A" w14:textId="77777777" w:rsidR="008A1C06" w:rsidRPr="001969A8" w:rsidRDefault="008A1C06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69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الموضوع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8880B9" w14:textId="77777777" w:rsidR="008A1C06" w:rsidRPr="001969A8" w:rsidRDefault="008A1C06" w:rsidP="00B13D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969A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بند جدول الاعمال</w:t>
            </w:r>
          </w:p>
        </w:tc>
      </w:tr>
      <w:tr w:rsidR="004A038F" w:rsidRPr="001969A8" w14:paraId="2205616B" w14:textId="77777777" w:rsidTr="00224128">
        <w:trPr>
          <w:trHeight w:val="567"/>
          <w:jc w:val="center"/>
        </w:trPr>
        <w:tc>
          <w:tcPr>
            <w:tcW w:w="3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64AFB" w14:textId="18F79E3F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</w:rPr>
              <w:t>WP 5D</w:t>
            </w:r>
          </w:p>
        </w:tc>
        <w:tc>
          <w:tcPr>
            <w:tcW w:w="22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8E61D8" w14:textId="09725A7A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75654" w14:textId="182A15AE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F79181" w14:textId="686856F7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IMT</w:t>
            </w:r>
          </w:p>
        </w:tc>
        <w:tc>
          <w:tcPr>
            <w:tcW w:w="16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95FC85" w14:textId="16E71D17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1.7</w:t>
            </w:r>
          </w:p>
        </w:tc>
      </w:tr>
      <w:tr w:rsidR="004A038F" w:rsidRPr="001969A8" w14:paraId="04D99B92" w14:textId="77777777" w:rsidTr="00224128">
        <w:trPr>
          <w:trHeight w:val="620"/>
          <w:jc w:val="center"/>
        </w:trPr>
        <w:tc>
          <w:tcPr>
            <w:tcW w:w="3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71D50" w14:textId="067DCFBF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rtl/>
                <w:lang w:val="es-ES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</w:rPr>
              <w:t>WP 5B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0CA298" w14:textId="0305A110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29446" w14:textId="6E4C66B2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BF03AA" w14:textId="08B6A0DE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rtl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RDS</w:t>
            </w:r>
          </w:p>
        </w:tc>
        <w:tc>
          <w:tcPr>
            <w:tcW w:w="1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FC807A" w14:textId="13FC97D7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rtl/>
                <w:lang w:val="es-ES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1.8</w:t>
            </w:r>
          </w:p>
        </w:tc>
      </w:tr>
      <w:tr w:rsidR="004A038F" w:rsidRPr="001969A8" w14:paraId="150020A9" w14:textId="77777777" w:rsidTr="00224128">
        <w:trPr>
          <w:trHeight w:val="710"/>
          <w:jc w:val="center"/>
        </w:trPr>
        <w:tc>
          <w:tcPr>
            <w:tcW w:w="3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1DBF3" w14:textId="0816B407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rtl/>
                <w:lang w:val="es-ES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</w:rPr>
              <w:t>WP 5B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50067A" w14:textId="0A0092C5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CDC8E" w14:textId="73C6524B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180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9628B4" w14:textId="395CBB25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rtl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AM(OR)S</w:t>
            </w:r>
          </w:p>
        </w:tc>
        <w:tc>
          <w:tcPr>
            <w:tcW w:w="1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43131" w14:textId="7AED7641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rtl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1.9</w:t>
            </w:r>
          </w:p>
        </w:tc>
      </w:tr>
      <w:tr w:rsidR="004A038F" w:rsidRPr="001969A8" w14:paraId="421F2F4B" w14:textId="77777777" w:rsidTr="00224128">
        <w:trPr>
          <w:trHeight w:val="980"/>
          <w:jc w:val="center"/>
        </w:trPr>
        <w:tc>
          <w:tcPr>
            <w:tcW w:w="3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F1B09C" w14:textId="05AEF0B8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rtl/>
                <w:lang w:val="es-ES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</w:rPr>
              <w:t>WP 5C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69AC54" w14:textId="530B4CA2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5FAC1" w14:textId="0B153A49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rtl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TBD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17052" w14:textId="713AB7AF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 xml:space="preserve">FS E-Band </w:t>
            </w:r>
            <w:proofErr w:type="spellStart"/>
            <w:r w:rsidRPr="00382443">
              <w:rPr>
                <w:rFonts w:ascii="Calibri" w:eastAsia="Times New Roman" w:hAnsi="Calibri" w:cs="Traditional Arabic"/>
                <w:position w:val="2"/>
                <w:sz w:val="28"/>
                <w:szCs w:val="28"/>
                <w:lang w:val="es-ES"/>
              </w:rPr>
              <w:t>Protection</w:t>
            </w:r>
            <w:proofErr w:type="spellEnd"/>
          </w:p>
        </w:tc>
        <w:tc>
          <w:tcPr>
            <w:tcW w:w="1645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EA1B9" w14:textId="313790CF" w:rsidR="004A038F" w:rsidRPr="00382443" w:rsidRDefault="004A038F" w:rsidP="004A038F">
            <w:pPr>
              <w:keepNext/>
              <w:spacing w:before="40" w:after="40" w:line="260" w:lineRule="exact"/>
              <w:jc w:val="center"/>
              <w:rPr>
                <w:rFonts w:ascii="Calibri" w:eastAsia="Times New Roman" w:hAnsi="Calibri" w:cs="Traditional Arabic"/>
                <w:b/>
                <w:bCs/>
                <w:position w:val="2"/>
                <w:sz w:val="28"/>
                <w:szCs w:val="28"/>
                <w:lang w:val="es-ES"/>
              </w:rPr>
            </w:pPr>
            <w:r w:rsidRPr="00382443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1.10</w:t>
            </w:r>
          </w:p>
        </w:tc>
      </w:tr>
    </w:tbl>
    <w:p w14:paraId="0B36033E" w14:textId="7BD7368E" w:rsidR="004817B5" w:rsidRPr="00A17DCD" w:rsidRDefault="008A1C06" w:rsidP="000923C9">
      <w:pPr>
        <w:bidi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A17DCD">
        <w:rPr>
          <w:rFonts w:ascii="Arial" w:hAnsi="Arial" w:cs="Arial" w:hint="cs"/>
          <w:sz w:val="28"/>
          <w:szCs w:val="28"/>
          <w:rtl/>
        </w:rPr>
        <w:t>تضم اللجنة التوجيهية للمجموعة؛ رئيس المجموعة ومنسقي البنود والفرق والمعاونة وتجتمع بدعوة من رئيس المجموعة لتنسيق وتحديث آلية عمل المجموعة</w:t>
      </w:r>
      <w:r w:rsidR="00441AC2">
        <w:rPr>
          <w:rFonts w:ascii="Arial" w:hAnsi="Arial" w:cs="Arial" w:hint="cs"/>
          <w:sz w:val="28"/>
          <w:szCs w:val="28"/>
          <w:rtl/>
          <w:lang w:bidi="ar-EG"/>
        </w:rPr>
        <w:t xml:space="preserve">، واعتماد </w:t>
      </w:r>
      <w:r w:rsidR="002A5E3A">
        <w:rPr>
          <w:rFonts w:ascii="Arial" w:hAnsi="Arial" w:cs="Arial" w:hint="cs"/>
          <w:sz w:val="28"/>
          <w:szCs w:val="28"/>
          <w:rtl/>
          <w:lang w:bidi="ar-EG"/>
        </w:rPr>
        <w:t xml:space="preserve">أي من مقترحات المصنعين يمكن تبنيها كمساهمة عربية </w:t>
      </w:r>
    </w:p>
    <w:p w14:paraId="32271FCA" w14:textId="5A578925" w:rsidR="00DA5844" w:rsidRPr="001969A8" w:rsidRDefault="00DA5844" w:rsidP="000923C9">
      <w:pPr>
        <w:bidi/>
        <w:jc w:val="both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خطة مجموعة العمل</w:t>
      </w:r>
      <w:r w:rsidR="006127B5"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</w:t>
      </w:r>
      <w:r w:rsidR="00B5696E">
        <w:rPr>
          <w:rFonts w:ascii="Arial" w:hAnsi="Arial" w:cs="Arial" w:hint="cs"/>
          <w:b/>
          <w:bCs/>
          <w:sz w:val="32"/>
          <w:szCs w:val="32"/>
          <w:u w:val="single"/>
          <w:rtl/>
        </w:rPr>
        <w:t>الثانية</w:t>
      </w:r>
      <w:r w:rsidRPr="001969A8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14:paraId="21FB600D" w14:textId="2A6750FA" w:rsidR="006127B5" w:rsidRPr="001969A8" w:rsidRDefault="006127B5" w:rsidP="006127B5">
      <w:pPr>
        <w:bidi/>
        <w:ind w:left="66"/>
        <w:jc w:val="both"/>
        <w:rPr>
          <w:rFonts w:ascii="Arial" w:hAnsi="Arial" w:cs="Arial"/>
          <w:sz w:val="28"/>
          <w:szCs w:val="28"/>
          <w:lang w:bidi="ar-EG"/>
        </w:rPr>
      </w:pP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تعتمد </w:t>
      </w:r>
      <w:r w:rsidR="00E51BBB"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خطة عمل </w:t>
      </w:r>
      <w:r w:rsidR="000126C3"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مجموعة العمل </w:t>
      </w:r>
      <w:r w:rsidR="00B5696E">
        <w:rPr>
          <w:rFonts w:ascii="Arial" w:hAnsi="Arial" w:cs="Arial" w:hint="cs"/>
          <w:sz w:val="28"/>
          <w:szCs w:val="28"/>
          <w:rtl/>
          <w:lang w:bidi="ar-EG"/>
        </w:rPr>
        <w:t>الثانية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  <w:r w:rsidR="002F20CC"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على </w:t>
      </w:r>
      <w:r w:rsidR="00F26644">
        <w:rPr>
          <w:rFonts w:ascii="Arial" w:hAnsi="Arial" w:cs="Arial" w:hint="cs"/>
          <w:sz w:val="28"/>
          <w:szCs w:val="28"/>
          <w:rtl/>
          <w:lang w:bidi="ar-EG"/>
        </w:rPr>
        <w:t>أربعة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محاور:</w:t>
      </w:r>
    </w:p>
    <w:p w14:paraId="1B509BB6" w14:textId="7F2C8137" w:rsidR="00DF51DE" w:rsidRPr="00DF51DE" w:rsidRDefault="00DF51DE" w:rsidP="00DF51DE">
      <w:pPr>
        <w:pStyle w:val="ListParagraph"/>
        <w:numPr>
          <w:ilvl w:val="0"/>
          <w:numId w:val="5"/>
        </w:numPr>
        <w:bidi/>
        <w:ind w:left="336" w:hanging="270"/>
        <w:jc w:val="both"/>
        <w:rPr>
          <w:rFonts w:ascii="Arial" w:hAnsi="Arial" w:cs="Arial"/>
          <w:sz w:val="28"/>
          <w:szCs w:val="28"/>
          <w:lang w:bidi="ar-EG"/>
        </w:rPr>
      </w:pPr>
      <w:r w:rsidRPr="001969A8">
        <w:rPr>
          <w:rFonts w:ascii="Arial" w:hAnsi="Arial" w:cs="Arial" w:hint="eastAsia"/>
          <w:b/>
          <w:bCs/>
          <w:sz w:val="28"/>
          <w:szCs w:val="28"/>
          <w:rtl/>
          <w:lang w:bidi="ar-EG"/>
        </w:rPr>
        <w:t>المحور</w:t>
      </w:r>
      <w:r w:rsidRPr="001969A8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الأول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يرتكز علي عمل لقاء مرئي قبل اجتماعات فرق العمل التي تناقش هذه البنود </w:t>
      </w:r>
      <w:r w:rsidRPr="005F2BC5">
        <w:rPr>
          <w:rFonts w:ascii="Arial" w:hAnsi="Arial" w:cs="Arial"/>
          <w:sz w:val="28"/>
          <w:szCs w:val="28"/>
          <w:lang w:bidi="ar-EG"/>
        </w:rPr>
        <w:t>WP</w:t>
      </w:r>
      <w:r>
        <w:rPr>
          <w:rFonts w:ascii="Arial" w:hAnsi="Arial" w:cs="Arial"/>
          <w:sz w:val="28"/>
          <w:szCs w:val="28"/>
          <w:lang w:bidi="ar-EG"/>
        </w:rPr>
        <w:t> </w:t>
      </w:r>
      <w:r w:rsidRPr="005F2BC5">
        <w:rPr>
          <w:rFonts w:ascii="Arial" w:hAnsi="Arial" w:cs="Arial"/>
          <w:sz w:val="28"/>
          <w:szCs w:val="28"/>
          <w:lang w:bidi="ar-EG"/>
        </w:rPr>
        <w:t>5D, WP 5B, WP 5C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لاستعراض موقف المساهمات التي قدمت باسم الإدارات العربية ومواقف الدول الأخرى حول البنود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المختلفة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.</w:t>
      </w:r>
      <w:r w:rsidRPr="001969A8">
        <w:rPr>
          <w:rFonts w:ascii="Arial" w:hAnsi="Arial" w:cs="Arial"/>
          <w:sz w:val="28"/>
          <w:szCs w:val="28"/>
          <w:lang w:bidi="ar-EG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EG"/>
        </w:rPr>
        <w:t>و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تشارك الإدارات العربية والمصنعين </w:t>
      </w:r>
      <w:r w:rsidR="00441AC2">
        <w:rPr>
          <w:rFonts w:ascii="Arial" w:hAnsi="Arial" w:cs="Arial" w:hint="cs"/>
          <w:sz w:val="28"/>
          <w:szCs w:val="28"/>
          <w:rtl/>
          <w:lang w:bidi="ar-EG"/>
        </w:rPr>
        <w:t xml:space="preserve">(تقديم الرؤى الفنية/التنظيمية </w:t>
      </w:r>
      <w:r w:rsidR="00441AC2">
        <w:rPr>
          <w:rFonts w:ascii="Arial" w:hAnsi="Arial" w:cs="Arial"/>
          <w:sz w:val="28"/>
          <w:szCs w:val="28"/>
          <w:rtl/>
          <w:lang w:bidi="ar-EG"/>
        </w:rPr>
        <w:t>–</w:t>
      </w:r>
      <w:r w:rsidR="00441AC2">
        <w:rPr>
          <w:rFonts w:ascii="Arial" w:hAnsi="Arial" w:cs="Arial" w:hint="cs"/>
          <w:sz w:val="28"/>
          <w:szCs w:val="28"/>
          <w:rtl/>
          <w:lang w:bidi="ar-EG"/>
        </w:rPr>
        <w:t xml:space="preserve"> مقترح لدراسات تشارك ومساهمات لفرق العمل بال </w:t>
      </w:r>
      <w:r w:rsidR="00441AC2">
        <w:rPr>
          <w:rFonts w:ascii="Arial" w:hAnsi="Arial" w:cs="Arial"/>
          <w:sz w:val="28"/>
          <w:szCs w:val="28"/>
          <w:lang w:bidi="ar-EG"/>
        </w:rPr>
        <w:t>ITU</w:t>
      </w:r>
      <w:r w:rsidR="00441AC2">
        <w:rPr>
          <w:rFonts w:ascii="Arial" w:hAnsi="Arial" w:cs="Arial" w:hint="cs"/>
          <w:sz w:val="28"/>
          <w:szCs w:val="28"/>
          <w:rtl/>
          <w:lang w:bidi="ar-EG"/>
        </w:rPr>
        <w:t xml:space="preserve">) 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في هذه الاجتماعات</w:t>
      </w:r>
      <w:r w:rsidR="00D638F0">
        <w:rPr>
          <w:rFonts w:ascii="Arial" w:hAnsi="Arial" w:cs="Arial" w:hint="cs"/>
          <w:sz w:val="28"/>
          <w:szCs w:val="28"/>
          <w:rtl/>
          <w:lang w:bidi="ar-EG"/>
        </w:rPr>
        <w:t xml:space="preserve"> </w:t>
      </w:r>
    </w:p>
    <w:p w14:paraId="43A09A21" w14:textId="74311DC9" w:rsidR="00E364F9" w:rsidRPr="001969A8" w:rsidRDefault="00E364F9" w:rsidP="00DF51DE">
      <w:pPr>
        <w:pStyle w:val="ListParagraph"/>
        <w:numPr>
          <w:ilvl w:val="0"/>
          <w:numId w:val="5"/>
        </w:numPr>
        <w:bidi/>
        <w:ind w:left="336" w:hanging="270"/>
        <w:jc w:val="both"/>
        <w:rPr>
          <w:rFonts w:ascii="Arial" w:hAnsi="Arial" w:cs="Arial"/>
          <w:sz w:val="28"/>
          <w:szCs w:val="28"/>
          <w:lang w:bidi="ar-EG"/>
        </w:rPr>
      </w:pPr>
      <w:r w:rsidRPr="001969A8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المحور </w:t>
      </w:r>
      <w:r w:rsidR="00DF51DE"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الثاني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يعتمد علي اجتماعات</w:t>
      </w:r>
      <w:r w:rsidRPr="001969A8">
        <w:rPr>
          <w:rFonts w:ascii="Arial" w:hAnsi="Arial" w:cs="Arial"/>
          <w:sz w:val="28"/>
          <w:szCs w:val="28"/>
          <w:lang w:bidi="ar-EG"/>
        </w:rPr>
        <w:t xml:space="preserve"> 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مرئية لمجموعة العمل </w:t>
      </w:r>
      <w:r w:rsidR="00B5696E">
        <w:rPr>
          <w:rFonts w:ascii="Arial" w:hAnsi="Arial" w:cs="Arial" w:hint="cs"/>
          <w:sz w:val="28"/>
          <w:szCs w:val="28"/>
          <w:rtl/>
          <w:lang w:bidi="ar-EG"/>
        </w:rPr>
        <w:t>الثانية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قبل اجتماعات فريق العمل العربي لمناقشة مقترحات محاور العمل المستقبلية</w:t>
      </w:r>
      <w:r w:rsidR="00692130"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وتنسيق مواقف الدول العربية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بخصوص بنود </w:t>
      </w:r>
      <w:r w:rsidR="00DA5D3A"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جدول 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اعمال المؤتمر </w:t>
      </w:r>
      <w:r w:rsidR="00B5696E">
        <w:rPr>
          <w:rFonts w:ascii="Arial" w:hAnsi="Arial" w:cs="Arial" w:hint="cs"/>
          <w:sz w:val="28"/>
          <w:szCs w:val="28"/>
          <w:rtl/>
          <w:lang w:bidi="ar-EG"/>
        </w:rPr>
        <w:t>المتعلقة، البنود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(1.</w:t>
      </w:r>
      <w:r w:rsidR="00B6296C">
        <w:rPr>
          <w:rFonts w:ascii="Arial" w:hAnsi="Arial" w:cs="Arial" w:hint="cs"/>
          <w:sz w:val="28"/>
          <w:szCs w:val="28"/>
          <w:rtl/>
          <w:lang w:bidi="ar-EG"/>
        </w:rPr>
        <w:t>7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 1.</w:t>
      </w:r>
      <w:r w:rsidR="00B6296C">
        <w:rPr>
          <w:rFonts w:ascii="Arial" w:hAnsi="Arial" w:cs="Arial" w:hint="cs"/>
          <w:sz w:val="28"/>
          <w:szCs w:val="28"/>
          <w:rtl/>
          <w:lang w:bidi="ar-EG"/>
        </w:rPr>
        <w:t>8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 1.</w:t>
      </w:r>
      <w:r w:rsidR="00B6296C">
        <w:rPr>
          <w:rFonts w:ascii="Arial" w:hAnsi="Arial" w:cs="Arial" w:hint="cs"/>
          <w:sz w:val="28"/>
          <w:szCs w:val="28"/>
          <w:rtl/>
          <w:lang w:bidi="ar-EG"/>
        </w:rPr>
        <w:t>9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 1.</w:t>
      </w:r>
      <w:r w:rsidR="00B6296C">
        <w:rPr>
          <w:rFonts w:ascii="Arial" w:hAnsi="Arial" w:cs="Arial" w:hint="cs"/>
          <w:sz w:val="28"/>
          <w:szCs w:val="28"/>
          <w:rtl/>
          <w:lang w:bidi="ar-EG"/>
        </w:rPr>
        <w:t>10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) </w:t>
      </w:r>
      <w:r w:rsidR="00B6296C">
        <w:rPr>
          <w:rFonts w:ascii="Arial" w:hAnsi="Arial" w:cs="Arial" w:hint="cs"/>
          <w:sz w:val="28"/>
          <w:szCs w:val="28"/>
          <w:rtl/>
          <w:lang w:bidi="ar-EG"/>
        </w:rPr>
        <w:t>و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تشارك الإدارات العربية والمصنعين في هذه الاجتماعات</w:t>
      </w:r>
      <w:r w:rsidRPr="001969A8">
        <w:rPr>
          <w:rFonts w:ascii="ArialMT" w:cs="ArialMT" w:hint="cs"/>
          <w:sz w:val="28"/>
          <w:szCs w:val="28"/>
          <w:rtl/>
        </w:rPr>
        <w:t>.</w:t>
      </w:r>
    </w:p>
    <w:p w14:paraId="413290A6" w14:textId="20CB1294" w:rsidR="00DF51DE" w:rsidRDefault="00DF51DE" w:rsidP="00DF51DE">
      <w:pPr>
        <w:pStyle w:val="ListParagraph"/>
        <w:numPr>
          <w:ilvl w:val="0"/>
          <w:numId w:val="5"/>
        </w:numPr>
        <w:bidi/>
        <w:ind w:left="336" w:hanging="270"/>
        <w:jc w:val="both"/>
        <w:rPr>
          <w:rFonts w:ascii="Arial" w:hAnsi="Arial" w:cs="Arial"/>
          <w:sz w:val="28"/>
          <w:szCs w:val="28"/>
          <w:lang w:bidi="ar-EG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lastRenderedPageBreak/>
        <w:t xml:space="preserve">المحمور الثالث </w:t>
      </w:r>
      <w:r w:rsidR="002251BC">
        <w:rPr>
          <w:rFonts w:ascii="Arial" w:hAnsi="Arial" w:cs="Arial" w:hint="cs"/>
          <w:b/>
          <w:bCs/>
          <w:sz w:val="28"/>
          <w:szCs w:val="28"/>
          <w:rtl/>
          <w:lang w:bidi="ar-EG"/>
        </w:rPr>
        <w:t xml:space="preserve">يرتكز على تبادل المعلومات والمرئيات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مع مجموعة العمل الأولى (عمل اجتماعات متخصصة مشتركة) بشأن البند 1.10 الذي تشارك فيه </w:t>
      </w:r>
      <w:r>
        <w:rPr>
          <w:rFonts w:ascii="Arial" w:hAnsi="Arial" w:cs="Arial"/>
          <w:sz w:val="28"/>
          <w:szCs w:val="28"/>
          <w:lang w:bidi="ar-EG"/>
        </w:rPr>
        <w:t>WP 4A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الدراسة مع </w:t>
      </w:r>
      <w:r>
        <w:rPr>
          <w:rFonts w:ascii="Arial" w:hAnsi="Arial" w:cs="Arial"/>
          <w:sz w:val="28"/>
          <w:szCs w:val="28"/>
          <w:lang w:bidi="ar-EG"/>
        </w:rPr>
        <w:t xml:space="preserve">WP 5C 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 لصياغة </w:t>
      </w:r>
      <w:r w:rsidR="002251BC">
        <w:rPr>
          <w:rFonts w:ascii="Arial" w:hAnsi="Arial" w:cs="Arial" w:hint="cs"/>
          <w:sz w:val="28"/>
          <w:szCs w:val="28"/>
          <w:rtl/>
          <w:lang w:bidi="ar-EG"/>
        </w:rPr>
        <w:t>ال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موقف </w:t>
      </w:r>
      <w:r w:rsidR="002251BC">
        <w:rPr>
          <w:rFonts w:ascii="Arial" w:hAnsi="Arial" w:cs="Arial" w:hint="cs"/>
          <w:sz w:val="28"/>
          <w:szCs w:val="28"/>
          <w:rtl/>
          <w:lang w:bidi="ar-EG"/>
        </w:rPr>
        <w:t>ال</w:t>
      </w:r>
      <w:r>
        <w:rPr>
          <w:rFonts w:ascii="Arial" w:hAnsi="Arial" w:cs="Arial" w:hint="cs"/>
          <w:sz w:val="28"/>
          <w:szCs w:val="28"/>
          <w:rtl/>
          <w:lang w:bidi="ar-EG"/>
        </w:rPr>
        <w:t xml:space="preserve">عربي </w:t>
      </w:r>
    </w:p>
    <w:p w14:paraId="66820C9E" w14:textId="77777777" w:rsidR="00DF51DE" w:rsidRPr="001969A8" w:rsidRDefault="00DF51DE" w:rsidP="00DF51DE">
      <w:pPr>
        <w:pStyle w:val="ListParagraph"/>
        <w:numPr>
          <w:ilvl w:val="0"/>
          <w:numId w:val="5"/>
        </w:numPr>
        <w:bidi/>
        <w:ind w:left="336" w:hanging="270"/>
        <w:jc w:val="both"/>
        <w:rPr>
          <w:rFonts w:ascii="Arial" w:hAnsi="Arial" w:cs="Arial"/>
          <w:sz w:val="28"/>
          <w:szCs w:val="28"/>
          <w:lang w:bidi="ar-EG"/>
        </w:rPr>
      </w:pPr>
      <w:r w:rsidRPr="001969A8">
        <w:rPr>
          <w:rFonts w:ascii="Arial" w:hAnsi="Arial" w:cs="Arial" w:hint="eastAsia"/>
          <w:b/>
          <w:bCs/>
          <w:sz w:val="28"/>
          <w:szCs w:val="28"/>
          <w:rtl/>
          <w:lang w:bidi="ar-EG"/>
        </w:rPr>
        <w:t>المحور</w:t>
      </w:r>
      <w:r w:rsidRPr="001969A8">
        <w:rPr>
          <w:rFonts w:ascii="Arial" w:hAnsi="Arial" w:cs="Arial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  <w:lang w:bidi="ar-EG"/>
        </w:rPr>
        <w:t>الرابع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يرتكز علي  تبادل المر</w:t>
      </w:r>
      <w:r>
        <w:rPr>
          <w:rFonts w:ascii="Arial" w:hAnsi="Arial" w:cs="Arial" w:hint="cs"/>
          <w:sz w:val="28"/>
          <w:szCs w:val="28"/>
          <w:rtl/>
          <w:lang w:bidi="ar-EG"/>
        </w:rPr>
        <w:t>ا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سالات الالكترونية بخصوص بنود </w:t>
      </w:r>
      <w:r>
        <w:rPr>
          <w:rFonts w:ascii="Arial" w:hAnsi="Arial" w:cs="Arial" w:hint="cs"/>
          <w:sz w:val="28"/>
          <w:szCs w:val="28"/>
          <w:rtl/>
          <w:lang w:bidi="ar-EG"/>
        </w:rPr>
        <w:t>أ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عمال المؤتمر </w:t>
      </w:r>
      <w:r>
        <w:rPr>
          <w:rFonts w:ascii="Arial" w:hAnsi="Arial" w:cs="Arial" w:hint="cs"/>
          <w:sz w:val="28"/>
          <w:szCs w:val="28"/>
          <w:rtl/>
          <w:lang w:bidi="ar-EG"/>
        </w:rPr>
        <w:t>المتعلقة، البنود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(1.</w:t>
      </w:r>
      <w:r>
        <w:rPr>
          <w:rFonts w:ascii="Arial" w:hAnsi="Arial" w:cs="Arial" w:hint="cs"/>
          <w:sz w:val="28"/>
          <w:szCs w:val="28"/>
          <w:rtl/>
          <w:lang w:bidi="ar-EG"/>
        </w:rPr>
        <w:t>7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 1.</w:t>
      </w:r>
      <w:r>
        <w:rPr>
          <w:rFonts w:ascii="Arial" w:hAnsi="Arial" w:cs="Arial" w:hint="cs"/>
          <w:sz w:val="28"/>
          <w:szCs w:val="28"/>
          <w:rtl/>
          <w:lang w:bidi="ar-EG"/>
        </w:rPr>
        <w:t>8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 1.</w:t>
      </w:r>
      <w:r>
        <w:rPr>
          <w:rFonts w:ascii="Arial" w:hAnsi="Arial" w:cs="Arial" w:hint="cs"/>
          <w:sz w:val="28"/>
          <w:szCs w:val="28"/>
          <w:rtl/>
          <w:lang w:bidi="ar-EG"/>
        </w:rPr>
        <w:t>9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و 1.</w:t>
      </w:r>
      <w:r>
        <w:rPr>
          <w:rFonts w:ascii="Arial" w:hAnsi="Arial" w:cs="Arial" w:hint="cs"/>
          <w:sz w:val="28"/>
          <w:szCs w:val="28"/>
          <w:rtl/>
          <w:lang w:bidi="ar-EG"/>
        </w:rPr>
        <w:t>10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)  ل</w:t>
      </w:r>
      <w:r>
        <w:rPr>
          <w:rFonts w:ascii="Arial" w:hAnsi="Arial" w:cs="Arial" w:hint="cs"/>
          <w:sz w:val="28"/>
          <w:szCs w:val="28"/>
          <w:rtl/>
          <w:lang w:bidi="ar-EG"/>
        </w:rPr>
        <w:t>إ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عداد مساهمات باسم الإدارا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ت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العربية إن </w:t>
      </w:r>
      <w:r>
        <w:rPr>
          <w:rFonts w:ascii="Arial" w:hAnsi="Arial" w:cs="Arial" w:hint="cs"/>
          <w:sz w:val="28"/>
          <w:szCs w:val="28"/>
          <w:rtl/>
          <w:lang w:bidi="ar-EG"/>
        </w:rPr>
        <w:t>أ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مكن حول البنود المختلفة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طبقا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لأعمال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التنسيق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بين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الإدارات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العربية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والمجموعة</w:t>
      </w:r>
      <w:r w:rsidRPr="001969A8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1969A8">
        <w:rPr>
          <w:rFonts w:ascii="Arial" w:hAnsi="Arial" w:cs="Arial" w:hint="eastAsia"/>
          <w:sz w:val="28"/>
          <w:szCs w:val="28"/>
          <w:rtl/>
          <w:lang w:bidi="ar-EG"/>
        </w:rPr>
        <w:t>ووفقاً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 xml:space="preserve"> ل</w:t>
      </w:r>
      <w:r>
        <w:rPr>
          <w:rFonts w:ascii="Arial" w:hAnsi="Arial" w:cs="Arial" w:hint="cs"/>
          <w:sz w:val="28"/>
          <w:szCs w:val="28"/>
          <w:rtl/>
          <w:lang w:bidi="ar-EG"/>
        </w:rPr>
        <w:t>آ</w:t>
      </w:r>
      <w:r w:rsidRPr="001969A8">
        <w:rPr>
          <w:rFonts w:ascii="Arial" w:hAnsi="Arial" w:cs="Arial" w:hint="cs"/>
          <w:sz w:val="28"/>
          <w:szCs w:val="28"/>
          <w:rtl/>
          <w:lang w:bidi="ar-EG"/>
        </w:rPr>
        <w:t>خر قرارات فريق العمل العربي الدائم للطيف الترددي. تكون تلك المراسلات مقتصرة على الإدارات العربية.</w:t>
      </w:r>
    </w:p>
    <w:p w14:paraId="5292D855" w14:textId="77777777" w:rsidR="00DF51DE" w:rsidRPr="001969A8" w:rsidRDefault="00DF51DE" w:rsidP="00DF51DE">
      <w:pPr>
        <w:pStyle w:val="ListParagraph"/>
        <w:bidi/>
        <w:ind w:left="336"/>
        <w:jc w:val="both"/>
        <w:rPr>
          <w:rFonts w:ascii="Arial" w:hAnsi="Arial" w:cs="Arial"/>
          <w:sz w:val="28"/>
          <w:szCs w:val="28"/>
          <w:lang w:bidi="ar-EG"/>
        </w:rPr>
      </w:pPr>
    </w:p>
    <w:sectPr w:rsidR="00DF51DE" w:rsidRPr="001969A8" w:rsidSect="001969A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BCB61" w14:textId="77777777" w:rsidR="00117841" w:rsidRDefault="00117841" w:rsidP="00BD1BB2">
      <w:pPr>
        <w:spacing w:after="0" w:line="240" w:lineRule="auto"/>
      </w:pPr>
      <w:r>
        <w:separator/>
      </w:r>
    </w:p>
  </w:endnote>
  <w:endnote w:type="continuationSeparator" w:id="0">
    <w:p w14:paraId="6481AEAB" w14:textId="77777777" w:rsidR="00117841" w:rsidRDefault="00117841" w:rsidP="00BD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20B0604020202020204"/>
    <w:charset w:val="B2"/>
    <w:family w:val="auto"/>
    <w:notTrueType/>
    <w:pitch w:val="default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2902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968DE" w14:textId="77777777" w:rsidR="008E0A1E" w:rsidRDefault="008E0A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D1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9D8C7EA" w14:textId="77777777" w:rsidR="00692130" w:rsidRDefault="0069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7007F" w14:textId="77777777" w:rsidR="00117841" w:rsidRDefault="00117841" w:rsidP="00BD1BB2">
      <w:pPr>
        <w:spacing w:after="0" w:line="240" w:lineRule="auto"/>
      </w:pPr>
      <w:r>
        <w:separator/>
      </w:r>
    </w:p>
  </w:footnote>
  <w:footnote w:type="continuationSeparator" w:id="0">
    <w:p w14:paraId="6C362064" w14:textId="77777777" w:rsidR="00117841" w:rsidRDefault="00117841" w:rsidP="00BD1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5BAF" w14:textId="77777777" w:rsidR="00692130" w:rsidRDefault="00692130" w:rsidP="00BD1BB2">
    <w:pPr>
      <w:pStyle w:val="Header"/>
      <w:bidi/>
      <w:rPr>
        <w:sz w:val="32"/>
        <w:szCs w:val="32"/>
        <w:lang w:bidi="ar-K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EDB9C6" wp14:editId="6AFCCF4C">
          <wp:simplePos x="0" y="0"/>
          <wp:positionH relativeFrom="margin">
            <wp:align>center</wp:align>
          </wp:positionH>
          <wp:positionV relativeFrom="paragraph">
            <wp:posOffset>13860</wp:posOffset>
          </wp:positionV>
          <wp:extent cx="904875" cy="8763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C2BEE" w14:textId="77777777" w:rsidR="00692130" w:rsidRDefault="00692130" w:rsidP="00BD1BB2">
    <w:pPr>
      <w:pStyle w:val="Header"/>
      <w:bidi/>
      <w:rPr>
        <w:sz w:val="32"/>
        <w:szCs w:val="32"/>
        <w:lang w:bidi="ar-KW"/>
      </w:rPr>
    </w:pPr>
  </w:p>
  <w:p w14:paraId="0F2E1DE9" w14:textId="77777777" w:rsidR="00692130" w:rsidRDefault="00692130" w:rsidP="00BD1BB2">
    <w:pPr>
      <w:pStyle w:val="Header"/>
      <w:bidi/>
      <w:rPr>
        <w:sz w:val="32"/>
        <w:szCs w:val="32"/>
        <w:lang w:bidi="ar-KW"/>
      </w:rPr>
    </w:pPr>
  </w:p>
  <w:p w14:paraId="773E1BF4" w14:textId="77777777" w:rsidR="00692130" w:rsidRPr="004A37A7" w:rsidRDefault="00692130" w:rsidP="00BD1BB2">
    <w:pPr>
      <w:pStyle w:val="Header"/>
      <w:bidi/>
      <w:rPr>
        <w:sz w:val="32"/>
        <w:szCs w:val="32"/>
        <w:rtl/>
        <w:lang w:bidi="ar-KW"/>
      </w:rPr>
    </w:pPr>
    <w:r>
      <w:rPr>
        <w:rFonts w:hint="cs"/>
        <w:sz w:val="32"/>
        <w:szCs w:val="32"/>
        <w:rtl/>
        <w:lang w:bidi="ar-KW"/>
      </w:rPr>
      <w:t xml:space="preserve">          </w:t>
    </w:r>
  </w:p>
  <w:p w14:paraId="24C35535" w14:textId="77777777" w:rsidR="00692130" w:rsidRPr="00C50232" w:rsidRDefault="00692130" w:rsidP="00C50232">
    <w:pPr>
      <w:pStyle w:val="Header"/>
      <w:spacing w:after="120"/>
      <w:jc w:val="center"/>
      <w:rPr>
        <w:b/>
        <w:bCs/>
        <w:sz w:val="28"/>
        <w:szCs w:val="28"/>
      </w:rPr>
    </w:pPr>
    <w:r w:rsidRPr="00C50232">
      <w:rPr>
        <w:rFonts w:cs="Arial"/>
        <w:b/>
        <w:bCs/>
        <w:sz w:val="28"/>
        <w:szCs w:val="28"/>
        <w:rtl/>
      </w:rPr>
      <w:t>فريق العمل العـربي الـدائم للطيف التـرددي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3096B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5D088B"/>
    <w:multiLevelType w:val="hybridMultilevel"/>
    <w:tmpl w:val="CDE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407E"/>
    <w:multiLevelType w:val="hybridMultilevel"/>
    <w:tmpl w:val="AB263E1A"/>
    <w:lvl w:ilvl="0" w:tplc="A0F6A97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2666"/>
    <w:multiLevelType w:val="hybridMultilevel"/>
    <w:tmpl w:val="A0A69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05A5B"/>
    <w:multiLevelType w:val="hybridMultilevel"/>
    <w:tmpl w:val="3DA2C6D4"/>
    <w:lvl w:ilvl="0" w:tplc="4122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6B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401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AC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F61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56C9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1AF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CE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20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104757"/>
    <w:multiLevelType w:val="hybridMultilevel"/>
    <w:tmpl w:val="1744FA82"/>
    <w:lvl w:ilvl="0" w:tplc="85C8C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D61"/>
    <w:multiLevelType w:val="hybridMultilevel"/>
    <w:tmpl w:val="CBCCD808"/>
    <w:lvl w:ilvl="0" w:tplc="86165F4A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310B9"/>
    <w:multiLevelType w:val="hybridMultilevel"/>
    <w:tmpl w:val="20EA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88295">
    <w:abstractNumId w:val="4"/>
  </w:num>
  <w:num w:numId="2" w16cid:durableId="1387922050">
    <w:abstractNumId w:val="6"/>
  </w:num>
  <w:num w:numId="3" w16cid:durableId="2016608297">
    <w:abstractNumId w:val="2"/>
  </w:num>
  <w:num w:numId="4" w16cid:durableId="1231035582">
    <w:abstractNumId w:val="5"/>
  </w:num>
  <w:num w:numId="5" w16cid:durableId="1624771742">
    <w:abstractNumId w:val="3"/>
  </w:num>
  <w:num w:numId="6" w16cid:durableId="519201811">
    <w:abstractNumId w:val="7"/>
  </w:num>
  <w:num w:numId="7" w16cid:durableId="974407633">
    <w:abstractNumId w:val="0"/>
  </w:num>
  <w:num w:numId="8" w16cid:durableId="261230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activeWritingStyle w:appName="MSWord" w:lang="ar-SA" w:vendorID="64" w:dllVersion="6" w:nlCheck="1" w:checkStyle="0"/>
  <w:activeWritingStyle w:appName="MSWord" w:lang="ar-A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ar-EG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ar-SY" w:vendorID="64" w:dllVersion="6" w:nlCheck="1" w:checkStyle="0"/>
  <w:activeWritingStyle w:appName="MSWord" w:lang="fr-FR" w:vendorID="64" w:dllVersion="6" w:nlCheck="1" w:checkStyle="0"/>
  <w:activeWritingStyle w:appName="MSWord" w:lang="ar-SA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BC1"/>
    <w:rsid w:val="00003F8E"/>
    <w:rsid w:val="00006DE0"/>
    <w:rsid w:val="000126C3"/>
    <w:rsid w:val="00020FA4"/>
    <w:rsid w:val="00021B79"/>
    <w:rsid w:val="00056451"/>
    <w:rsid w:val="00063C82"/>
    <w:rsid w:val="000865B0"/>
    <w:rsid w:val="000923C9"/>
    <w:rsid w:val="000A7BB9"/>
    <w:rsid w:val="000E4200"/>
    <w:rsid w:val="00117841"/>
    <w:rsid w:val="001332B5"/>
    <w:rsid w:val="001472B2"/>
    <w:rsid w:val="001924E3"/>
    <w:rsid w:val="001969A8"/>
    <w:rsid w:val="00224128"/>
    <w:rsid w:val="002251BC"/>
    <w:rsid w:val="00267DF3"/>
    <w:rsid w:val="00272C01"/>
    <w:rsid w:val="002912CE"/>
    <w:rsid w:val="002A5E3A"/>
    <w:rsid w:val="002C32A2"/>
    <w:rsid w:val="002F20CC"/>
    <w:rsid w:val="003747D2"/>
    <w:rsid w:val="00382443"/>
    <w:rsid w:val="003D3AAB"/>
    <w:rsid w:val="003E21EA"/>
    <w:rsid w:val="00412508"/>
    <w:rsid w:val="00423D04"/>
    <w:rsid w:val="00427C08"/>
    <w:rsid w:val="00441AC2"/>
    <w:rsid w:val="00455136"/>
    <w:rsid w:val="004653BD"/>
    <w:rsid w:val="004817B5"/>
    <w:rsid w:val="00481E17"/>
    <w:rsid w:val="004A038F"/>
    <w:rsid w:val="004C7145"/>
    <w:rsid w:val="004E2A63"/>
    <w:rsid w:val="00500750"/>
    <w:rsid w:val="0055108F"/>
    <w:rsid w:val="00576F2F"/>
    <w:rsid w:val="005A614A"/>
    <w:rsid w:val="005B7AA1"/>
    <w:rsid w:val="005C2B91"/>
    <w:rsid w:val="005F10BD"/>
    <w:rsid w:val="005F2BC5"/>
    <w:rsid w:val="006127B5"/>
    <w:rsid w:val="00646FFB"/>
    <w:rsid w:val="006602D3"/>
    <w:rsid w:val="00692130"/>
    <w:rsid w:val="006A09DE"/>
    <w:rsid w:val="006C1B55"/>
    <w:rsid w:val="006C639D"/>
    <w:rsid w:val="006E07C3"/>
    <w:rsid w:val="007026D6"/>
    <w:rsid w:val="00703154"/>
    <w:rsid w:val="00753079"/>
    <w:rsid w:val="00765230"/>
    <w:rsid w:val="00785C21"/>
    <w:rsid w:val="007929A4"/>
    <w:rsid w:val="007B00E3"/>
    <w:rsid w:val="007B72A4"/>
    <w:rsid w:val="00857099"/>
    <w:rsid w:val="00857EF4"/>
    <w:rsid w:val="00887DAD"/>
    <w:rsid w:val="008A1C06"/>
    <w:rsid w:val="008D4650"/>
    <w:rsid w:val="008E0A1E"/>
    <w:rsid w:val="008E6C6A"/>
    <w:rsid w:val="008F5DED"/>
    <w:rsid w:val="00931F29"/>
    <w:rsid w:val="00941A2C"/>
    <w:rsid w:val="009558B6"/>
    <w:rsid w:val="009669B4"/>
    <w:rsid w:val="00986473"/>
    <w:rsid w:val="00986C4D"/>
    <w:rsid w:val="009A3449"/>
    <w:rsid w:val="009B16B6"/>
    <w:rsid w:val="009C2905"/>
    <w:rsid w:val="009D6CB1"/>
    <w:rsid w:val="00A006CE"/>
    <w:rsid w:val="00A17DCD"/>
    <w:rsid w:val="00A371D3"/>
    <w:rsid w:val="00A4263B"/>
    <w:rsid w:val="00A5461C"/>
    <w:rsid w:val="00AA58CD"/>
    <w:rsid w:val="00AC24F7"/>
    <w:rsid w:val="00B13DB0"/>
    <w:rsid w:val="00B270A4"/>
    <w:rsid w:val="00B5148F"/>
    <w:rsid w:val="00B5696E"/>
    <w:rsid w:val="00B61D1A"/>
    <w:rsid w:val="00B625B0"/>
    <w:rsid w:val="00B6296C"/>
    <w:rsid w:val="00B6465C"/>
    <w:rsid w:val="00B77EAE"/>
    <w:rsid w:val="00BA3EF5"/>
    <w:rsid w:val="00BD1BB2"/>
    <w:rsid w:val="00BD52D4"/>
    <w:rsid w:val="00C35666"/>
    <w:rsid w:val="00C50232"/>
    <w:rsid w:val="00C56AE4"/>
    <w:rsid w:val="00C574CC"/>
    <w:rsid w:val="00CA1D46"/>
    <w:rsid w:val="00CA2F51"/>
    <w:rsid w:val="00CC28A6"/>
    <w:rsid w:val="00CF52B2"/>
    <w:rsid w:val="00D04E83"/>
    <w:rsid w:val="00D438F4"/>
    <w:rsid w:val="00D638F0"/>
    <w:rsid w:val="00D94184"/>
    <w:rsid w:val="00D96508"/>
    <w:rsid w:val="00D96D05"/>
    <w:rsid w:val="00DA5844"/>
    <w:rsid w:val="00DA5D3A"/>
    <w:rsid w:val="00DB3BC1"/>
    <w:rsid w:val="00DF51DE"/>
    <w:rsid w:val="00E24346"/>
    <w:rsid w:val="00E31ADE"/>
    <w:rsid w:val="00E32488"/>
    <w:rsid w:val="00E361D7"/>
    <w:rsid w:val="00E364F9"/>
    <w:rsid w:val="00E50A65"/>
    <w:rsid w:val="00E51357"/>
    <w:rsid w:val="00E51A58"/>
    <w:rsid w:val="00E51BBB"/>
    <w:rsid w:val="00EB528F"/>
    <w:rsid w:val="00EC5C6C"/>
    <w:rsid w:val="00ED3E86"/>
    <w:rsid w:val="00EE61F7"/>
    <w:rsid w:val="00F26644"/>
    <w:rsid w:val="00F505A4"/>
    <w:rsid w:val="00F60B0F"/>
    <w:rsid w:val="00F7567E"/>
    <w:rsid w:val="00F82063"/>
    <w:rsid w:val="00F95A51"/>
    <w:rsid w:val="00FA1D8A"/>
    <w:rsid w:val="00FA4585"/>
    <w:rsid w:val="00FC2101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1D88A"/>
  <w15:chartTrackingRefBased/>
  <w15:docId w15:val="{AB454F18-E69F-4C3A-BDFA-7651ECF2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DA5844"/>
    <w:pPr>
      <w:keepNext/>
      <w:numPr>
        <w:numId w:val="7"/>
      </w:numPr>
      <w:suppressAutoHyphens/>
      <w:spacing w:before="240" w:after="240" w:line="276" w:lineRule="auto"/>
      <w:jc w:val="both"/>
      <w:outlineLvl w:val="0"/>
    </w:pPr>
    <w:rPr>
      <w:rFonts w:eastAsia="Times New Roman" w:cs="Times New Roman"/>
      <w:b/>
      <w:bCs/>
      <w:color w:val="000000"/>
      <w:kern w:val="1"/>
      <w:sz w:val="24"/>
      <w:szCs w:val="32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DA5844"/>
    <w:pPr>
      <w:numPr>
        <w:ilvl w:val="1"/>
        <w:numId w:val="7"/>
      </w:numPr>
      <w:suppressAutoHyphens/>
      <w:spacing w:before="120" w:after="120" w:line="240" w:lineRule="auto"/>
      <w:jc w:val="both"/>
      <w:outlineLvl w:val="1"/>
    </w:pPr>
    <w:rPr>
      <w:rFonts w:eastAsia="Times New Roman" w:cs="Times New Roman"/>
      <w:b/>
      <w:bCs/>
      <w:color w:val="000000" w:themeColor="text1"/>
      <w:kern w:val="1"/>
      <w:sz w:val="24"/>
      <w:szCs w:val="36"/>
      <w:lang w:val="en-GB"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44"/>
    <w:pPr>
      <w:keepNext/>
      <w:numPr>
        <w:ilvl w:val="2"/>
        <w:numId w:val="7"/>
      </w:numPr>
      <w:suppressAutoHyphens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44"/>
    <w:pPr>
      <w:keepNext/>
      <w:numPr>
        <w:ilvl w:val="3"/>
        <w:numId w:val="7"/>
      </w:numPr>
      <w:suppressAutoHyphens/>
      <w:spacing w:before="240" w:after="60" w:line="276" w:lineRule="auto"/>
      <w:outlineLvl w:val="3"/>
    </w:pPr>
    <w:rPr>
      <w:rFonts w:eastAsiaTheme="minorEastAsia"/>
      <w:b/>
      <w:bCs/>
      <w:color w:val="000000"/>
      <w:kern w:val="1"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44"/>
    <w:pPr>
      <w:numPr>
        <w:ilvl w:val="4"/>
        <w:numId w:val="7"/>
      </w:numPr>
      <w:suppressAutoHyphens/>
      <w:spacing w:before="240" w:after="60" w:line="276" w:lineRule="auto"/>
      <w:outlineLvl w:val="4"/>
    </w:pPr>
    <w:rPr>
      <w:rFonts w:eastAsiaTheme="minorEastAsia"/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DA5844"/>
    <w:pPr>
      <w:numPr>
        <w:ilvl w:val="5"/>
        <w:numId w:val="7"/>
      </w:numPr>
      <w:tabs>
        <w:tab w:val="num" w:pos="0"/>
      </w:tabs>
      <w:suppressAutoHyphens/>
      <w:spacing w:before="240" w:after="60" w:line="276" w:lineRule="auto"/>
      <w:outlineLvl w:val="5"/>
    </w:pPr>
    <w:rPr>
      <w:rFonts w:ascii="Tahoma" w:eastAsia="Times New Roman" w:hAnsi="Tahoma" w:cs="Tahoma"/>
      <w:b/>
      <w:bCs/>
      <w:color w:val="000000"/>
      <w:kern w:val="1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44"/>
    <w:pPr>
      <w:numPr>
        <w:ilvl w:val="6"/>
        <w:numId w:val="7"/>
      </w:numPr>
      <w:suppressAutoHyphens/>
      <w:spacing w:before="240" w:after="60" w:line="276" w:lineRule="auto"/>
      <w:outlineLvl w:val="6"/>
    </w:pPr>
    <w:rPr>
      <w:rFonts w:eastAsiaTheme="minorEastAsia"/>
      <w:color w:val="000000"/>
      <w:kern w:val="1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44"/>
    <w:pPr>
      <w:numPr>
        <w:ilvl w:val="7"/>
        <w:numId w:val="7"/>
      </w:numPr>
      <w:suppressAutoHyphens/>
      <w:spacing w:before="240" w:after="60" w:line="276" w:lineRule="auto"/>
      <w:outlineLvl w:val="7"/>
    </w:pPr>
    <w:rPr>
      <w:rFonts w:eastAsiaTheme="minorEastAsia"/>
      <w:i/>
      <w:iCs/>
      <w:color w:val="000000"/>
      <w:kern w:val="1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44"/>
    <w:pPr>
      <w:numPr>
        <w:ilvl w:val="8"/>
        <w:numId w:val="7"/>
      </w:numPr>
      <w:suppressAutoHyphens/>
      <w:spacing w:before="240" w:after="60" w:line="276" w:lineRule="auto"/>
      <w:outlineLvl w:val="8"/>
    </w:pPr>
    <w:rPr>
      <w:rFonts w:asciiTheme="majorHAnsi" w:eastAsiaTheme="majorEastAsia" w:hAnsiTheme="majorHAnsi" w:cstheme="majorBidi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B2"/>
  </w:style>
  <w:style w:type="paragraph" w:styleId="Footer">
    <w:name w:val="footer"/>
    <w:basedOn w:val="Normal"/>
    <w:link w:val="FooterChar"/>
    <w:uiPriority w:val="99"/>
    <w:unhideWhenUsed/>
    <w:rsid w:val="00BD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B2"/>
  </w:style>
  <w:style w:type="table" w:styleId="TableGrid">
    <w:name w:val="Table Grid"/>
    <w:basedOn w:val="TableNormal"/>
    <w:uiPriority w:val="39"/>
    <w:rsid w:val="0002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FA1D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FA1D8A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5C2B9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enumlev1">
    <w:name w:val="enumlev1"/>
    <w:basedOn w:val="Normal"/>
    <w:next w:val="Normal"/>
    <w:link w:val="enumlev1Char"/>
    <w:qFormat/>
    <w:rsid w:val="00EC5C6C"/>
    <w:pPr>
      <w:tabs>
        <w:tab w:val="left" w:pos="1134"/>
      </w:tabs>
      <w:bidi/>
      <w:spacing w:before="80" w:after="0" w:line="192" w:lineRule="auto"/>
      <w:ind w:left="1134" w:hanging="1134"/>
      <w:jc w:val="both"/>
    </w:pPr>
    <w:rPr>
      <w:rFonts w:ascii="Calibri" w:eastAsia="Times New Roman" w:hAnsi="Calibri" w:cs="Traditional Arabic"/>
      <w:szCs w:val="30"/>
    </w:rPr>
  </w:style>
  <w:style w:type="character" w:customStyle="1" w:styleId="enumlev1Char">
    <w:name w:val="enumlev1 Char"/>
    <w:basedOn w:val="DefaultParagraphFont"/>
    <w:link w:val="enumlev1"/>
    <w:rsid w:val="00EC5C6C"/>
    <w:rPr>
      <w:rFonts w:ascii="Calibri" w:eastAsia="Times New Roman" w:hAnsi="Calibri" w:cs="Traditional Arabic"/>
      <w:szCs w:val="30"/>
    </w:rPr>
  </w:style>
  <w:style w:type="paragraph" w:customStyle="1" w:styleId="Call">
    <w:name w:val="Call"/>
    <w:basedOn w:val="Normal"/>
    <w:next w:val="Normal"/>
    <w:link w:val="CallChar"/>
    <w:qFormat/>
    <w:rsid w:val="00BD52D4"/>
    <w:pPr>
      <w:keepNext/>
      <w:keepLines/>
      <w:tabs>
        <w:tab w:val="left" w:pos="1134"/>
      </w:tabs>
      <w:bidi/>
      <w:spacing w:before="180" w:after="0" w:line="192" w:lineRule="auto"/>
      <w:ind w:firstLine="1134"/>
      <w:jc w:val="both"/>
    </w:pPr>
    <w:rPr>
      <w:rFonts w:ascii="Calibri" w:eastAsia="Times New Roman" w:hAnsi="Calibri" w:cs="Traditional Arabic"/>
      <w:i/>
      <w:iCs/>
      <w:szCs w:val="30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qFormat/>
    <w:rsid w:val="00BD52D4"/>
    <w:pPr>
      <w:tabs>
        <w:tab w:val="left" w:pos="372"/>
        <w:tab w:val="left" w:pos="1134"/>
      </w:tabs>
      <w:bidi/>
      <w:spacing w:before="60" w:after="0" w:line="168" w:lineRule="auto"/>
      <w:ind w:left="374" w:hanging="374"/>
      <w:jc w:val="both"/>
    </w:pPr>
    <w:rPr>
      <w:rFonts w:ascii="Calibri" w:eastAsia="Times New Roman" w:hAnsi="Calibri" w:cs="Traditional Arabic"/>
      <w:sz w:val="20"/>
      <w:szCs w:val="26"/>
      <w:lang w:bidi="ar-EG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BD52D4"/>
    <w:rPr>
      <w:rFonts w:ascii="Calibri" w:eastAsia="Times New Roman" w:hAnsi="Calibri" w:cs="Traditional Arabic"/>
      <w:sz w:val="20"/>
      <w:szCs w:val="26"/>
      <w:lang w:bidi="ar-EG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,Ref"/>
    <w:basedOn w:val="DefaultParagraphFont"/>
    <w:qFormat/>
    <w:rsid w:val="00BD52D4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Tabletext">
    <w:name w:val="Table_text"/>
    <w:basedOn w:val="Normal"/>
    <w:link w:val="TabletextChar"/>
    <w:qFormat/>
    <w:rsid w:val="00BD52D4"/>
    <w:pPr>
      <w:tabs>
        <w:tab w:val="left" w:pos="1134"/>
      </w:tabs>
      <w:bidi/>
      <w:spacing w:before="60" w:after="60" w:line="260" w:lineRule="exact"/>
      <w:jc w:val="center"/>
    </w:pPr>
    <w:rPr>
      <w:rFonts w:ascii="Calibri" w:eastAsia="Times New Roman" w:hAnsi="Calibri" w:cs="Traditional Arabic"/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BD52D4"/>
    <w:rPr>
      <w:rFonts w:ascii="Calibri" w:eastAsia="Times New Roman" w:hAnsi="Calibri" w:cs="Traditional Arabic"/>
      <w:sz w:val="20"/>
      <w:szCs w:val="26"/>
      <w:lang w:val="fr-FR" w:bidi="ar-EG"/>
    </w:rPr>
  </w:style>
  <w:style w:type="character" w:customStyle="1" w:styleId="CallChar">
    <w:name w:val="Call Char"/>
    <w:basedOn w:val="DefaultParagraphFont"/>
    <w:link w:val="Call"/>
    <w:locked/>
    <w:rsid w:val="00BD52D4"/>
    <w:rPr>
      <w:rFonts w:ascii="Calibri" w:eastAsia="Times New Roman" w:hAnsi="Calibri" w:cs="Traditional Arabic"/>
      <w:i/>
      <w:iCs/>
      <w:szCs w:val="30"/>
    </w:rPr>
  </w:style>
  <w:style w:type="character" w:customStyle="1" w:styleId="Artref">
    <w:name w:val="Art_ref"/>
    <w:basedOn w:val="DefaultParagraphFont"/>
    <w:rsid w:val="00BD52D4"/>
  </w:style>
  <w:style w:type="paragraph" w:customStyle="1" w:styleId="Annextitle">
    <w:name w:val="Annex title"/>
    <w:basedOn w:val="Normal"/>
    <w:qFormat/>
    <w:rsid w:val="00BD52D4"/>
    <w:pPr>
      <w:keepNext/>
      <w:keepLines/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360" w:line="192" w:lineRule="auto"/>
      <w:jc w:val="center"/>
    </w:pPr>
    <w:rPr>
      <w:rFonts w:ascii="Calibri" w:eastAsiaTheme="minorEastAsia" w:hAnsi="Calibri" w:cs="Traditional Arabic"/>
      <w:b/>
      <w:bCs/>
      <w:sz w:val="28"/>
      <w:szCs w:val="40"/>
      <w:lang w:eastAsia="zh-CN" w:bidi="ar-SY"/>
    </w:rPr>
  </w:style>
  <w:style w:type="paragraph" w:customStyle="1" w:styleId="AnnexNo">
    <w:name w:val="Annex No"/>
    <w:basedOn w:val="Normal"/>
    <w:qFormat/>
    <w:rsid w:val="00BD52D4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360" w:after="120" w:line="192" w:lineRule="auto"/>
      <w:jc w:val="center"/>
    </w:pPr>
    <w:rPr>
      <w:rFonts w:ascii="Calibri" w:eastAsiaTheme="minorEastAsia" w:hAnsi="Calibri" w:cs="Traditional Arabic"/>
      <w:sz w:val="26"/>
      <w:szCs w:val="36"/>
      <w:lang w:eastAsia="zh-CN" w:bidi="ar-SY"/>
    </w:rPr>
  </w:style>
  <w:style w:type="character" w:customStyle="1" w:styleId="Heading1Char">
    <w:name w:val="Heading 1 Char"/>
    <w:basedOn w:val="DefaultParagraphFont"/>
    <w:link w:val="Heading1"/>
    <w:rsid w:val="00DA5844"/>
    <w:rPr>
      <w:rFonts w:eastAsia="Times New Roman" w:cs="Times New Roman"/>
      <w:b/>
      <w:bCs/>
      <w:color w:val="000000"/>
      <w:kern w:val="1"/>
      <w:sz w:val="24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DA5844"/>
    <w:rPr>
      <w:rFonts w:eastAsia="Times New Roman" w:cs="Times New Roman"/>
      <w:b/>
      <w:bCs/>
      <w:color w:val="000000" w:themeColor="text1"/>
      <w:kern w:val="1"/>
      <w:sz w:val="24"/>
      <w:szCs w:val="36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44"/>
    <w:rPr>
      <w:rFonts w:asciiTheme="majorHAnsi" w:eastAsiaTheme="majorEastAsia" w:hAnsiTheme="majorHAnsi" w:cstheme="majorBidi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44"/>
    <w:rPr>
      <w:rFonts w:eastAsiaTheme="minorEastAsia"/>
      <w:b/>
      <w:bCs/>
      <w:color w:val="000000"/>
      <w:kern w:val="1"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44"/>
    <w:rPr>
      <w:rFonts w:eastAsiaTheme="minorEastAsia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A5844"/>
    <w:rPr>
      <w:rFonts w:ascii="Tahoma" w:eastAsia="Times New Roman" w:hAnsi="Tahoma" w:cs="Tahoma"/>
      <w:b/>
      <w:bCs/>
      <w:color w:val="000000"/>
      <w:kern w:val="1"/>
      <w:sz w:val="24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44"/>
    <w:rPr>
      <w:rFonts w:eastAsiaTheme="minorEastAsia"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44"/>
    <w:rPr>
      <w:rFonts w:eastAsiaTheme="minorEastAsia"/>
      <w:i/>
      <w:iCs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44"/>
    <w:rPr>
      <w:rFonts w:asciiTheme="majorHAnsi" w:eastAsiaTheme="majorEastAsia" w:hAnsiTheme="majorHAnsi" w:cstheme="majorBidi"/>
      <w:color w:val="000000"/>
      <w:kern w:val="1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A58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5844"/>
  </w:style>
  <w:style w:type="paragraph" w:styleId="BalloonText">
    <w:name w:val="Balloon Text"/>
    <w:basedOn w:val="Normal"/>
    <w:link w:val="BalloonTextChar"/>
    <w:uiPriority w:val="99"/>
    <w:semiHidden/>
    <w:unhideWhenUsed/>
    <w:rsid w:val="00F75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84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32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Albalooshi</dc:creator>
  <cp:keywords/>
  <dc:description/>
  <cp:lastModifiedBy>Mohamed El-Moghazi</cp:lastModifiedBy>
  <cp:revision>3</cp:revision>
  <dcterms:created xsi:type="dcterms:W3CDTF">2024-05-14T06:53:00Z</dcterms:created>
  <dcterms:modified xsi:type="dcterms:W3CDTF">2024-05-14T07:33:00Z</dcterms:modified>
</cp:coreProperties>
</file>